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0" w:line="400" w:lineRule="exact"/>
        <w:contextualSpacing/>
        <w:jc w:val="center"/>
        <w:rPr>
          <w:rFonts w:ascii="Times New Roman" w:hAnsi="Times New Roman" w:cs="Times New Roman"/>
          <w:sz w:val="40"/>
        </w:rPr>
      </w:pPr>
      <w:bookmarkStart w:id="0" w:name="_GoBack"/>
      <w:bookmarkEnd w:id="0"/>
      <w:r>
        <w:rPr>
          <w:rFonts w:ascii="Times New Roman" w:cs="Times New Roman"/>
          <w:sz w:val="40"/>
        </w:rPr>
        <w:t>《</w:t>
      </w:r>
      <w:r>
        <w:rPr>
          <w:rFonts w:hint="eastAsia" w:ascii="Times New Roman" w:cs="Times New Roman"/>
          <w:sz w:val="40"/>
        </w:rPr>
        <w:t>文体学概论</w:t>
      </w:r>
      <w:r>
        <w:rPr>
          <w:rFonts w:ascii="Times New Roman" w:cs="Times New Roman"/>
          <w:sz w:val="40"/>
        </w:rPr>
        <w:t>》课程教学大纲</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p>
          <w:p>
            <w:pPr>
              <w:spacing w:line="400" w:lineRule="exact"/>
              <w:contextualSpacing/>
              <w:rPr>
                <w:rFonts w:ascii="Times New Roman" w:hAnsi="Times New Roman" w:cs="Times New Roman"/>
                <w:sz w:val="24"/>
              </w:rPr>
            </w:pPr>
            <w:r>
              <w:rPr>
                <w:rFonts w:ascii="Times New Roman" w:hAnsi="Times New Roman" w:cs="Times New Roman"/>
                <w:sz w:val="24"/>
              </w:rPr>
              <w:t>课程名称：</w:t>
            </w:r>
            <w:r>
              <w:rPr>
                <w:rFonts w:hint="eastAsia" w:ascii="Times New Roman" w:hAnsi="Times New Roman" w:cs="Times New Roman"/>
                <w:sz w:val="24"/>
              </w:rPr>
              <w:t>文体学概论</w:t>
            </w:r>
          </w:p>
        </w:tc>
        <w:tc>
          <w:tcPr>
            <w:tcW w:w="4148" w:type="dxa"/>
          </w:tcPr>
          <w:p>
            <w:pPr>
              <w:spacing w:line="400" w:lineRule="exact"/>
              <w:contextualSpacing/>
              <w:rPr>
                <w:rFonts w:ascii="Times New Roman" w:hAnsi="Times New Roman" w:cs="Times New Roman"/>
                <w:sz w:val="24"/>
              </w:rPr>
            </w:pPr>
          </w:p>
          <w:p>
            <w:pPr>
              <w:spacing w:line="400" w:lineRule="exact"/>
              <w:contextualSpacing/>
              <w:rPr>
                <w:rFonts w:ascii="Times New Roman" w:hAnsi="Times New Roman" w:cs="Times New Roman"/>
                <w:sz w:val="24"/>
              </w:rPr>
            </w:pPr>
            <w:r>
              <w:rPr>
                <w:rFonts w:ascii="Times New Roman" w:hAnsi="Times New Roman" w:cs="Times New Roman"/>
                <w:sz w:val="24"/>
              </w:rPr>
              <w:t>课程代码：SESC2049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400" w:lineRule="exact"/>
              <w:contextualSpacing/>
              <w:rPr>
                <w:rFonts w:ascii="Times New Roman" w:hAnsi="Times New Roman" w:cs="Times New Roman"/>
                <w:sz w:val="24"/>
              </w:rPr>
            </w:pPr>
            <w:r>
              <w:rPr>
                <w:rFonts w:ascii="Times New Roman" w:hAnsi="Times New Roman" w:cs="Times New Roman"/>
                <w:sz w:val="24"/>
              </w:rPr>
              <w:t>英文名称：IntroductiontoStylistics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课程性质：</w:t>
            </w:r>
            <w:r>
              <w:rPr>
                <w:rFonts w:hint="eastAsia" w:ascii="Times New Roman" w:hAnsi="Times New Roman" w:cs="Times New Roman"/>
                <w:sz w:val="24"/>
              </w:rPr>
              <w:t>专业选修课程</w:t>
            </w:r>
          </w:p>
        </w:tc>
        <w:tc>
          <w:tcPr>
            <w:tcW w:w="4148" w:type="dxa"/>
          </w:tcPr>
          <w:p>
            <w:pPr>
              <w:spacing w:line="400" w:lineRule="exact"/>
              <w:contextualSpacing/>
              <w:rPr>
                <w:rFonts w:ascii="Times New Roman" w:hAnsi="Times New Roman" w:cs="Times New Roman"/>
                <w:sz w:val="24"/>
              </w:rPr>
            </w:pPr>
            <w:r>
              <w:rPr>
                <w:rFonts w:hint="eastAsia" w:ascii="Times New Roman" w:hAnsi="Times New Roman" w:cs="Times New Roman"/>
                <w:sz w:val="24"/>
              </w:rPr>
              <w:t>开课学期</w:t>
            </w:r>
            <w:r>
              <w:rPr>
                <w:rFonts w:ascii="Times New Roman" w:hAnsi="Times New Roman" w:cs="Times New Roman"/>
                <w:sz w:val="24"/>
              </w:rPr>
              <w:t>：</w:t>
            </w:r>
            <w:r>
              <w:rPr>
                <w:rFonts w:hint="eastAsia" w:ascii="Times New Roman" w:hAnsi="Times New Roman" w:cs="Times New Roman"/>
                <w:sz w:val="24"/>
              </w:rPr>
              <w:t>第</w:t>
            </w:r>
            <w:r>
              <w:rPr>
                <w:rFonts w:ascii="Times New Roman" w:hAnsi="Times New Roman" w:cs="Times New Roman"/>
                <w:sz w:val="24"/>
              </w:rPr>
              <w:t>6</w:t>
            </w:r>
            <w:r>
              <w:rPr>
                <w:rFonts w:hint="eastAsia" w:ascii="Times New Roman" w:hAnsi="Times New Roman" w:cs="Times New Roman"/>
                <w:sz w:val="24"/>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学分/学时：2学分/36学时</w:t>
            </w:r>
          </w:p>
        </w:tc>
        <w:tc>
          <w:tcPr>
            <w:tcW w:w="4148" w:type="dxa"/>
          </w:tcPr>
          <w:p>
            <w:pPr>
              <w:spacing w:line="400" w:lineRule="exact"/>
              <w:contextualSpacing/>
              <w:rPr>
                <w:rFonts w:ascii="Times New Roman" w:hAnsi="Times New Roman" w:cs="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400" w:lineRule="exact"/>
              <w:contextualSpacing/>
              <w:rPr>
                <w:rFonts w:ascii="Times New Roman" w:hAnsi="Times New Roman" w:cs="Times New Roman"/>
                <w:sz w:val="24"/>
              </w:rPr>
            </w:pPr>
            <w:r>
              <w:rPr>
                <w:rFonts w:ascii="Times New Roman" w:hAnsi="Times New Roman" w:cs="Times New Roman"/>
                <w:sz w:val="24"/>
              </w:rPr>
              <w:t>适用专业：</w:t>
            </w:r>
            <w:r>
              <w:rPr>
                <w:rFonts w:hint="eastAsia" w:ascii="Times New Roman" w:hAnsi="Times New Roman" w:cs="Times New Roman"/>
                <w:sz w:val="24"/>
              </w:rPr>
              <w:t>汉语言文学（师范）专业实践学时：</w:t>
            </w:r>
            <w:r>
              <w:rPr>
                <w:rFonts w:ascii="Times New Roman" w:hAnsi="Times New Roman" w:cs="Times New Roman"/>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400" w:lineRule="exact"/>
              <w:ind w:left="1200" w:hanging="1200" w:hangingChars="500"/>
              <w:contextualSpacing/>
              <w:rPr>
                <w:rFonts w:ascii="Times New Roman" w:hAnsi="Times New Roman" w:cs="Times New Roman"/>
                <w:sz w:val="24"/>
              </w:rPr>
            </w:pPr>
            <w:r>
              <w:rPr>
                <w:rFonts w:ascii="Times New Roman" w:hAnsi="Times New Roman" w:cs="Times New Roman"/>
                <w:sz w:val="24"/>
              </w:rPr>
              <w:t>先修课程：</w:t>
            </w:r>
            <w:r>
              <w:rPr>
                <w:rFonts w:hint="eastAsia" w:ascii="Times New Roman" w:hAnsi="Times New Roman" w:cs="Times New Roman"/>
                <w:sz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gridSpan w:val="2"/>
          </w:tcPr>
          <w:p>
            <w:pPr>
              <w:spacing w:line="400" w:lineRule="exact"/>
              <w:contextualSpacing/>
              <w:rPr>
                <w:rFonts w:ascii="Times New Roman" w:hAnsi="Times New Roman" w:cs="Times New Roman"/>
                <w:sz w:val="24"/>
              </w:rPr>
            </w:pPr>
            <w:r>
              <w:rPr>
                <w:rFonts w:ascii="Times New Roman" w:hAnsi="Times New Roman" w:cs="Times New Roman"/>
                <w:sz w:val="24"/>
              </w:rPr>
              <w:t>后续课程：无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开课单位：</w:t>
            </w:r>
            <w:r>
              <w:rPr>
                <w:rFonts w:hint="eastAsia" w:ascii="Times New Roman" w:hAnsi="Times New Roman" w:cs="Times New Roman"/>
                <w:sz w:val="24"/>
              </w:rPr>
              <w:t>文学院</w:t>
            </w:r>
          </w:p>
        </w:tc>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课程负责人：</w:t>
            </w:r>
            <w:r>
              <w:rPr>
                <w:rFonts w:hint="eastAsia" w:ascii="Times New Roman" w:hAnsi="Times New Roman" w:cs="Times New Roman"/>
                <w:sz w:val="24"/>
              </w:rPr>
              <w:t>李晨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大纲执笔人：</w:t>
            </w:r>
            <w:r>
              <w:rPr>
                <w:rFonts w:hint="eastAsia" w:ascii="Times New Roman" w:hAnsi="Times New Roman" w:cs="Times New Roman"/>
                <w:sz w:val="24"/>
              </w:rPr>
              <w:t>李晨</w:t>
            </w:r>
          </w:p>
        </w:tc>
        <w:tc>
          <w:tcPr>
            <w:tcW w:w="4148" w:type="dxa"/>
          </w:tcPr>
          <w:p>
            <w:pPr>
              <w:spacing w:line="400" w:lineRule="exact"/>
              <w:contextualSpacing/>
              <w:rPr>
                <w:rFonts w:ascii="Times New Roman" w:hAnsi="Times New Roman" w:cs="Times New Roman"/>
                <w:sz w:val="24"/>
              </w:rPr>
            </w:pPr>
            <w:r>
              <w:rPr>
                <w:rFonts w:ascii="Times New Roman" w:hAnsi="Times New Roman" w:cs="Times New Roman"/>
                <w:sz w:val="24"/>
              </w:rPr>
              <w:t>大纲审核人：</w:t>
            </w:r>
          </w:p>
        </w:tc>
      </w:tr>
    </w:tbl>
    <w:p>
      <w:pPr>
        <w:pStyle w:val="3"/>
        <w:spacing w:before="240" w:after="0" w:line="400" w:lineRule="exact"/>
        <w:contextualSpacing/>
        <w:rPr>
          <w:rFonts w:ascii="Times New Roman" w:hAnsi="Times New Roman" w:cs="Times New Roman"/>
          <w:sz w:val="30"/>
          <w:szCs w:val="30"/>
        </w:rPr>
      </w:pPr>
      <w:r>
        <w:rPr>
          <w:rFonts w:ascii="Times New Roman" w:cs="Times New Roman"/>
          <w:sz w:val="30"/>
          <w:szCs w:val="30"/>
        </w:rPr>
        <w:t>一、课程性质和教学目标</w:t>
      </w:r>
    </w:p>
    <w:p>
      <w:pPr>
        <w:spacing w:line="400" w:lineRule="exact"/>
        <w:ind w:firstLine="482" w:firstLineChars="200"/>
        <w:contextualSpacing/>
        <w:rPr>
          <w:rFonts w:ascii="宋体" w:hAnsi="宋体"/>
          <w:sz w:val="24"/>
        </w:rPr>
      </w:pPr>
      <w:r>
        <w:rPr>
          <w:rFonts w:ascii="Times New Roman" w:cs="Times New Roman"/>
          <w:b/>
          <w:color w:val="000000" w:themeColor="text1"/>
          <w:sz w:val="24"/>
          <w:szCs w:val="24"/>
        </w:rPr>
        <w:t>课程性质：</w:t>
      </w:r>
      <w:r>
        <w:rPr>
          <w:rFonts w:hint="eastAsia" w:ascii="宋体" w:hAnsi="宋体"/>
          <w:sz w:val="24"/>
        </w:rPr>
        <w:t>《文体学概论》是为</w:t>
      </w:r>
      <w:r>
        <w:rPr>
          <w:rFonts w:hint="eastAsia" w:ascii="宋体" w:hAnsi="宋体"/>
          <w:sz w:val="24"/>
          <w:highlight w:val="yellow"/>
        </w:rPr>
        <w:t>汉语言文学专业（师范类）本科生开设的选修课程</w:t>
      </w:r>
      <w:r>
        <w:rPr>
          <w:rFonts w:hint="eastAsia" w:ascii="宋体" w:hAnsi="宋体"/>
          <w:sz w:val="24"/>
        </w:rPr>
        <w:t>，集知识性、理论性于一体，着重研究中国古代文体的发生发展及变化过程使学生了解古代各类文体的基本形式和变化情况掌握古代各种文体的基本特点。</w:t>
      </w:r>
    </w:p>
    <w:p>
      <w:pPr>
        <w:spacing w:line="400" w:lineRule="exact"/>
        <w:ind w:firstLine="482" w:firstLineChars="200"/>
        <w:contextualSpacing/>
        <w:rPr>
          <w:rFonts w:ascii="Times New Roman" w:hAnsi="Times New Roman" w:cs="Times New Roman"/>
          <w:color w:val="000000" w:themeColor="text1"/>
          <w:sz w:val="24"/>
          <w:szCs w:val="24"/>
        </w:rPr>
      </w:pPr>
      <w:r>
        <w:rPr>
          <w:rFonts w:ascii="宋体" w:hAnsi="宋体"/>
          <w:b/>
          <w:sz w:val="24"/>
        </w:rPr>
        <w:t>教</w:t>
      </w:r>
      <w:r>
        <w:rPr>
          <w:rFonts w:ascii="Times New Roman" w:hAnsi="Times New Roman" w:cs="Times New Roman"/>
          <w:b/>
          <w:color w:val="000000" w:themeColor="text1"/>
          <w:sz w:val="24"/>
          <w:szCs w:val="24"/>
        </w:rPr>
        <w:t>学目标：</w:t>
      </w:r>
      <w:r>
        <w:rPr>
          <w:rFonts w:hint="eastAsia" w:ascii="Times New Roman" w:hAnsi="Times New Roman" w:cs="Times New Roman"/>
          <w:color w:val="000000" w:themeColor="text1"/>
          <w:sz w:val="24"/>
          <w:szCs w:val="24"/>
        </w:rPr>
        <w:t>本课程主要讲授古代诗歌、散文两类文体中各类文种的特点及发展变化戏剧及小说从略。具体目标如下：</w:t>
      </w:r>
    </w:p>
    <w:p>
      <w:pPr>
        <w:adjustRightInd w:val="0"/>
        <w:snapToGrid w:val="0"/>
        <w:spacing w:line="400" w:lineRule="exact"/>
        <w:ind w:firstLine="480" w:firstLineChars="200"/>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1.通过本课程的学习，学生应该掌握古代诗文文体发展的基本情况。（支撑毕业要求3[学科素养]7[学会反思]）</w:t>
      </w:r>
    </w:p>
    <w:p>
      <w:pPr>
        <w:spacing w:before="156" w:beforeLines="50" w:line="400" w:lineRule="exact"/>
        <w:ind w:firstLine="480" w:firstLineChars="20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hint="eastAsia" w:ascii="Times New Roman" w:hAnsi="Times New Roman" w:cs="Times New Roman"/>
          <w:color w:val="000000" w:themeColor="text1"/>
          <w:sz w:val="24"/>
          <w:szCs w:val="24"/>
        </w:rPr>
        <w:t>通过本课程的学习，学生应该掌握古代诗文文体发展的基本情况以及古代各种诗文文体的基本特征。（支撑毕业要求3[学科素养]7[学会反思]）</w:t>
      </w:r>
    </w:p>
    <w:p>
      <w:pPr>
        <w:spacing w:before="156" w:beforeLines="50" w:line="400" w:lineRule="exact"/>
        <w:ind w:firstLine="480" w:firstLineChars="200"/>
        <w:contextualSpacing/>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通过本课程的学习，学生应该大量涉猎古代诗文名作佳篇，通过相关解读提升诗文审美能力，提升道德修养，增加对中国传统文化的理解和认识，提升民族自豪感和自信心。（支撑毕业要求1[师德规范]3[学科素养]）</w:t>
      </w:r>
    </w:p>
    <w:p>
      <w:pPr>
        <w:spacing w:before="156" w:beforeLines="50" w:line="400" w:lineRule="exact"/>
        <w:ind w:firstLine="480" w:firstLineChars="200"/>
        <w:contextualSpacing/>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r>
        <w:rPr>
          <w:rFonts w:hint="eastAsia" w:ascii="Times New Roman" w:hAnsi="Times New Roman" w:cs="Times New Roman"/>
          <w:color w:val="000000" w:themeColor="text1"/>
          <w:sz w:val="24"/>
          <w:szCs w:val="24"/>
        </w:rPr>
        <w:t>通过本课程的学习，学生应该举一反三，学会对课程未涉及的古代文体进行探索研究。（支撑毕业要求7[学会反思]</w:t>
      </w:r>
      <w:r>
        <w:rPr>
          <w:rFonts w:ascii="Times New Roman" w:hAnsi="Times New Roman" w:cs="Times New Roman"/>
          <w:color w:val="000000" w:themeColor="text1"/>
          <w:sz w:val="24"/>
          <w:szCs w:val="24"/>
        </w:rPr>
        <w:t>8</w:t>
      </w:r>
      <w:r>
        <w:rPr>
          <w:rFonts w:hint="eastAsia" w:ascii="Times New Roman" w:hAnsi="Times New Roman" w:cs="Times New Roman"/>
          <w:color w:val="000000" w:themeColor="text1"/>
          <w:sz w:val="24"/>
          <w:szCs w:val="24"/>
        </w:rPr>
        <w:t>[沟通合作]）</w:t>
      </w:r>
    </w:p>
    <w:p>
      <w:pPr>
        <w:spacing w:before="156" w:beforeLines="50" w:line="400" w:lineRule="exact"/>
        <w:ind w:firstLine="480" w:firstLineChars="200"/>
        <w:contextualSpacing/>
        <w:rPr>
          <w:rFonts w:ascii="Times New Roman" w:hAnsi="Times New Roman" w:cs="Times New Roman"/>
          <w:color w:val="000000" w:themeColor="text1"/>
          <w:sz w:val="24"/>
          <w:szCs w:val="24"/>
        </w:rPr>
      </w:pPr>
    </w:p>
    <w:p>
      <w:pPr>
        <w:spacing w:before="156" w:beforeLines="50" w:line="400" w:lineRule="exact"/>
        <w:contextualSpacing/>
        <w:rPr>
          <w:rFonts w:ascii="Times New Roman" w:hAnsi="Times New Roman" w:cs="Times New Roman" w:eastAsiaTheme="majorEastAsia"/>
          <w:b/>
          <w:bCs/>
          <w:sz w:val="30"/>
          <w:szCs w:val="30"/>
        </w:rPr>
      </w:pPr>
      <w:r>
        <w:rPr>
          <w:rFonts w:hint="eastAsia" w:ascii="Times New Roman" w:hAnsi="Times New Roman" w:cs="Times New Roman" w:eastAsiaTheme="majorEastAsia"/>
          <w:b/>
          <w:bCs/>
          <w:sz w:val="30"/>
          <w:szCs w:val="30"/>
        </w:rPr>
        <w:t>二、教学目标与毕业要求的对应关系</w:t>
      </w:r>
    </w:p>
    <w:tbl>
      <w:tblPr>
        <w:tblStyle w:val="1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961"/>
        <w:gridCol w:w="127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contextualSpacing/>
              <w:jc w:val="center"/>
              <w:rPr>
                <w:rFonts w:ascii="Times New Roman" w:hAnsi="Times New Roman" w:cs="Times New Roman"/>
                <w:b/>
                <w:szCs w:val="21"/>
              </w:rPr>
            </w:pPr>
            <w:r>
              <w:rPr>
                <w:rFonts w:ascii="Times New Roman" w:hAnsi="Times New Roman" w:cs="Times New Roman"/>
                <w:b/>
                <w:szCs w:val="21"/>
              </w:rPr>
              <w:t>毕业要求</w:t>
            </w:r>
          </w:p>
        </w:tc>
        <w:tc>
          <w:tcPr>
            <w:tcW w:w="4961" w:type="dxa"/>
            <w:vAlign w:val="center"/>
          </w:tcPr>
          <w:p>
            <w:pPr>
              <w:spacing w:line="400" w:lineRule="exact"/>
              <w:contextualSpacing/>
              <w:jc w:val="center"/>
              <w:rPr>
                <w:rFonts w:ascii="Times New Roman" w:hAnsi="Times New Roman" w:cs="Times New Roman"/>
                <w:b/>
                <w:szCs w:val="21"/>
              </w:rPr>
            </w:pPr>
            <w:r>
              <w:rPr>
                <w:rFonts w:ascii="Times New Roman" w:hAnsi="Times New Roman" w:cs="Times New Roman"/>
                <w:b/>
                <w:szCs w:val="21"/>
              </w:rPr>
              <w:t>指标点</w:t>
            </w:r>
          </w:p>
        </w:tc>
        <w:tc>
          <w:tcPr>
            <w:tcW w:w="1276" w:type="dxa"/>
            <w:vAlign w:val="center"/>
          </w:tcPr>
          <w:p>
            <w:pPr>
              <w:spacing w:line="400" w:lineRule="exact"/>
              <w:contextualSpacing/>
              <w:jc w:val="center"/>
              <w:rPr>
                <w:rFonts w:ascii="Times New Roman" w:hAnsi="Times New Roman" w:cs="Times New Roman"/>
                <w:b/>
                <w:szCs w:val="21"/>
              </w:rPr>
            </w:pPr>
            <w:r>
              <w:rPr>
                <w:rFonts w:ascii="Times New Roman" w:hAnsi="Times New Roman" w:cs="Times New Roman"/>
                <w:b/>
                <w:szCs w:val="21"/>
              </w:rPr>
              <w:t>课程目标</w:t>
            </w:r>
          </w:p>
        </w:tc>
        <w:tc>
          <w:tcPr>
            <w:tcW w:w="1984" w:type="dxa"/>
            <w:vAlign w:val="center"/>
          </w:tcPr>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对应关系说明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毕业要求1：师德规范</w:t>
            </w:r>
          </w:p>
        </w:tc>
        <w:tc>
          <w:tcPr>
            <w:tcW w:w="4961" w:type="dxa"/>
            <w:vAlign w:val="center"/>
          </w:tcPr>
          <w:p>
            <w:pPr>
              <w:adjustRightInd w:val="0"/>
              <w:snapToGrid w:val="0"/>
              <w:spacing w:line="300" w:lineRule="auto"/>
              <w:jc w:val="left"/>
              <w:rPr>
                <w:rFonts w:asciiTheme="minorEastAsia" w:hAnsiTheme="minorEastAsia"/>
                <w:szCs w:val="21"/>
              </w:rPr>
            </w:pPr>
            <w:r>
              <w:rPr>
                <w:rFonts w:hint="eastAsia" w:asciiTheme="minorEastAsia" w:hAnsiTheme="minorEastAsia"/>
                <w:szCs w:val="21"/>
              </w:rPr>
              <w:t>1-1具有正确的世界观、人生观，了解社会主义核心价值观的基本含义与意义，并努力践行，增进对中国特色社会主义的思想认同、政治认同、理论认同和情感认同。深入贯彻党的教育方针，坚持以立德树人为己任。</w:t>
            </w:r>
          </w:p>
          <w:p>
            <w:pPr>
              <w:spacing w:line="400" w:lineRule="exact"/>
              <w:contextualSpacing/>
              <w:jc w:val="left"/>
              <w:rPr>
                <w:rFonts w:asciiTheme="minorEastAsia" w:hAnsiTheme="minorEastAsia"/>
                <w:szCs w:val="21"/>
              </w:rPr>
            </w:pPr>
            <w:r>
              <w:rPr>
                <w:rFonts w:hint="eastAsia" w:asciiTheme="minorEastAsia" w:hAnsiTheme="minorEastAsia"/>
                <w:szCs w:val="21"/>
              </w:rPr>
              <w:t>1-2了解语文教师的职业性质和责任，具有良好的职业素质，在教学实践中遵守中小学教师职业道德规范，具有法律意识。</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1-4具有从教志向和信念，立志成为有理想信念、有道德情操、有扎实学识、有仁爱之心的好老师。</w:t>
            </w:r>
          </w:p>
        </w:tc>
        <w:tc>
          <w:tcPr>
            <w:tcW w:w="1276" w:type="dxa"/>
            <w:vAlign w:val="center"/>
          </w:tcPr>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课程目标</w:t>
            </w:r>
            <w:r>
              <w:rPr>
                <w:rFonts w:ascii="Times New Roman" w:hAnsi="Times New Roman" w:cs="Times New Roman"/>
                <w:b/>
                <w:szCs w:val="21"/>
              </w:rPr>
              <w:t>3</w:t>
            </w:r>
          </w:p>
        </w:tc>
        <w:tc>
          <w:tcPr>
            <w:tcW w:w="1984" w:type="dxa"/>
            <w:vAlign w:val="center"/>
          </w:tcPr>
          <w:p>
            <w:pPr>
              <w:spacing w:line="400" w:lineRule="exact"/>
              <w:contextualSpacing/>
              <w:jc w:val="left"/>
              <w:rPr>
                <w:rFonts w:ascii="Times New Roman" w:hAnsi="Times New Roman" w:cs="Times New Roman"/>
                <w:szCs w:val="21"/>
              </w:rPr>
            </w:pPr>
            <w:r>
              <w:rPr>
                <w:rFonts w:hint="eastAsia" w:ascii="宋体" w:hAnsi="宋体"/>
                <w:szCs w:val="21"/>
              </w:rPr>
              <w:t>通过本课程的学习，学生应该大量涉猎古代诗文名作佳篇，通过相关解读提升诗文审美能力，提升道德修养，增加对中国传统文化的理解和认识，提升民族自豪感和自信心。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毕业要求3：学科素养</w:t>
            </w:r>
          </w:p>
        </w:tc>
        <w:tc>
          <w:tcPr>
            <w:tcW w:w="4961" w:type="dxa"/>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3-1系统掌握现代汉语、古代汉语、语言学等方面的知识，具有分析语言现象的能力。</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3-2系统掌握中国古代文学、现当代文学及外国文学等方面的知识，背诵经典古诗文，具有分析、解读多样经典文本能力。</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3-3掌握写作学、逻辑学等基本理论知识，具有较高语言素养，撰写各类文体的能力。</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3-4掌握文艺学、美学、文献学等基本理论知识，能够结合具体文学、美学现象展开分析，能够基于文献学基础展开文献整理。</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3-5具备基本人文社会科学知识，了解中国文化，能够具有跨学科知识，了解所教学科与其他学科的联系，了解所学学科与社会实践的联系。</w:t>
            </w:r>
          </w:p>
        </w:tc>
        <w:tc>
          <w:tcPr>
            <w:tcW w:w="1276" w:type="dxa"/>
            <w:vAlign w:val="center"/>
          </w:tcPr>
          <w:p>
            <w:pPr>
              <w:spacing w:line="400" w:lineRule="exact"/>
              <w:contextualSpacing/>
              <w:jc w:val="left"/>
              <w:rPr>
                <w:rFonts w:ascii="Times New Roman" w:hAnsi="Times New Roman" w:cs="Times New Roman"/>
                <w:b/>
                <w:szCs w:val="21"/>
              </w:rPr>
            </w:pPr>
            <w:r>
              <w:rPr>
                <w:rFonts w:hint="eastAsia" w:ascii="Times New Roman" w:hAnsi="Times New Roman" w:cs="Times New Roman"/>
                <w:b/>
                <w:szCs w:val="21"/>
              </w:rPr>
              <w:t>课程目标1课程目标2</w:t>
            </w:r>
          </w:p>
          <w:p>
            <w:pPr>
              <w:spacing w:line="400" w:lineRule="exact"/>
              <w:contextualSpacing/>
              <w:jc w:val="left"/>
              <w:rPr>
                <w:rFonts w:hint="eastAsia" w:ascii="Times New Roman" w:hAnsi="Times New Roman" w:cs="Times New Roman"/>
                <w:b/>
                <w:szCs w:val="21"/>
              </w:rPr>
            </w:pPr>
            <w:r>
              <w:rPr>
                <w:rFonts w:hint="eastAsia" w:ascii="Times New Roman" w:hAnsi="Times New Roman" w:cs="Times New Roman"/>
                <w:b/>
                <w:szCs w:val="21"/>
              </w:rPr>
              <w:t>课程目标3</w:t>
            </w:r>
          </w:p>
        </w:tc>
        <w:tc>
          <w:tcPr>
            <w:tcW w:w="1984" w:type="dxa"/>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通过本课程的学习学生应该掌握古代诗文文体发展的基本情况以及古代各种诗文文体的基本特征。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01" w:type="dxa"/>
            <w:tcMar>
              <w:left w:w="57" w:type="dxa"/>
              <w:right w:w="57" w:type="dxa"/>
            </w:tcMar>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毕业要求7：</w:t>
            </w:r>
          </w:p>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学会反思</w:t>
            </w:r>
          </w:p>
        </w:tc>
        <w:tc>
          <w:tcPr>
            <w:tcW w:w="4961" w:type="dxa"/>
            <w:vAlign w:val="center"/>
          </w:tcPr>
          <w:p>
            <w:pPr>
              <w:spacing w:line="400" w:lineRule="exact"/>
              <w:contextualSpacing/>
              <w:rPr>
                <w:rFonts w:ascii="Times New Roman" w:hAnsi="Times New Roman" w:cs="Times New Roman"/>
                <w:szCs w:val="21"/>
              </w:rPr>
            </w:pPr>
            <w:r>
              <w:rPr>
                <w:rFonts w:hint="eastAsia" w:ascii="Times New Roman" w:hAnsi="Times New Roman" w:cs="Times New Roman"/>
                <w:szCs w:val="21"/>
              </w:rPr>
              <w:t>7-1能够对学习内容展开反思，体现终身学习与专业发展的意识和能力。</w:t>
            </w:r>
          </w:p>
          <w:p>
            <w:pPr>
              <w:spacing w:line="400" w:lineRule="exact"/>
              <w:contextualSpacing/>
              <w:rPr>
                <w:rFonts w:ascii="Times New Roman" w:hAnsi="Times New Roman" w:cs="Times New Roman"/>
                <w:szCs w:val="21"/>
              </w:rPr>
            </w:pPr>
            <w:r>
              <w:rPr>
                <w:rFonts w:hint="eastAsia" w:ascii="Times New Roman" w:hAnsi="Times New Roman" w:cs="Times New Roman"/>
                <w:szCs w:val="21"/>
              </w:rPr>
              <w:t>7-3初步掌握反思方法和技能，具有一定创新意识，运用批判性思维方法，学会分析和解决学科问题和教育教学问题。</w:t>
            </w:r>
          </w:p>
        </w:tc>
        <w:tc>
          <w:tcPr>
            <w:tcW w:w="1276" w:type="dxa"/>
            <w:vAlign w:val="center"/>
          </w:tcPr>
          <w:p>
            <w:pPr>
              <w:spacing w:line="400" w:lineRule="exact"/>
              <w:contextualSpacing/>
              <w:jc w:val="center"/>
              <w:rPr>
                <w:rFonts w:ascii="Times New Roman" w:hAnsi="Times New Roman" w:cs="Times New Roman"/>
                <w:b/>
                <w:szCs w:val="21"/>
              </w:rPr>
            </w:pPr>
          </w:p>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课程</w:t>
            </w:r>
            <w:r>
              <w:rPr>
                <w:rFonts w:ascii="Times New Roman" w:hAnsi="Times New Roman" w:cs="Times New Roman"/>
                <w:b/>
                <w:szCs w:val="21"/>
              </w:rPr>
              <w:t>目标1</w:t>
            </w:r>
          </w:p>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课程目标</w:t>
            </w:r>
            <w:r>
              <w:rPr>
                <w:rFonts w:ascii="Times New Roman" w:hAnsi="Times New Roman" w:cs="Times New Roman"/>
                <w:b/>
                <w:szCs w:val="21"/>
              </w:rPr>
              <w:t>2</w:t>
            </w:r>
          </w:p>
          <w:p>
            <w:pPr>
              <w:spacing w:line="400" w:lineRule="exact"/>
              <w:contextualSpacing/>
              <w:jc w:val="center"/>
              <w:rPr>
                <w:rFonts w:ascii="Times New Roman" w:hAnsi="Times New Roman" w:cs="Times New Roman"/>
                <w:b/>
                <w:szCs w:val="21"/>
              </w:rPr>
            </w:pPr>
            <w:r>
              <w:rPr>
                <w:rFonts w:hint="eastAsia" w:ascii="Times New Roman" w:hAnsi="Times New Roman" w:cs="Times New Roman"/>
                <w:b/>
                <w:szCs w:val="21"/>
              </w:rPr>
              <w:t>课程目标4</w:t>
            </w:r>
          </w:p>
        </w:tc>
        <w:tc>
          <w:tcPr>
            <w:tcW w:w="1984" w:type="dxa"/>
            <w:vAlign w:val="center"/>
          </w:tcPr>
          <w:p>
            <w:pPr>
              <w:spacing w:line="400" w:lineRule="exact"/>
              <w:contextualSpacing/>
              <w:rPr>
                <w:rFonts w:ascii="Times New Roman" w:hAnsi="Times New Roman" w:cs="Times New Roman"/>
                <w:szCs w:val="21"/>
              </w:rPr>
            </w:pPr>
            <w:r>
              <w:rPr>
                <w:rFonts w:hint="eastAsia" w:ascii="Times New Roman" w:hAnsi="Times New Roman" w:cs="Times New Roman"/>
                <w:szCs w:val="21"/>
              </w:rPr>
              <w:t>通过本课程的学习学生获得古代文体研究方法，初步接触文体学研究。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01" w:type="dxa"/>
            <w:tcMar>
              <w:left w:w="57" w:type="dxa"/>
              <w:right w:w="57" w:type="dxa"/>
            </w:tcMar>
            <w:vAlign w:val="center"/>
          </w:tcPr>
          <w:p>
            <w:pPr>
              <w:spacing w:line="400" w:lineRule="exact"/>
              <w:contextualSpacing/>
              <w:jc w:val="left"/>
              <w:rPr>
                <w:rFonts w:ascii="Times New Roman" w:hAnsi="Times New Roman" w:cs="Times New Roman"/>
                <w:szCs w:val="21"/>
              </w:rPr>
            </w:pPr>
            <w:r>
              <w:rPr>
                <w:rFonts w:hint="eastAsia" w:ascii="Times New Roman" w:hAnsi="Times New Roman" w:cs="Times New Roman"/>
                <w:szCs w:val="21"/>
              </w:rPr>
              <w:t>毕业要求8：沟通合作</w:t>
            </w:r>
          </w:p>
        </w:tc>
        <w:tc>
          <w:tcPr>
            <w:tcW w:w="4961" w:type="dxa"/>
            <w:vAlign w:val="center"/>
          </w:tcPr>
          <w:p>
            <w:pPr>
              <w:spacing w:line="400" w:lineRule="exact"/>
              <w:contextualSpacing/>
              <w:rPr>
                <w:rFonts w:ascii="Times New Roman" w:hAnsi="Times New Roman" w:cs="Times New Roman"/>
                <w:szCs w:val="21"/>
              </w:rPr>
            </w:pPr>
            <w:r>
              <w:rPr>
                <w:rFonts w:hint="eastAsia" w:ascii="Times New Roman" w:hAnsi="Times New Roman" w:cs="Times New Roman"/>
                <w:szCs w:val="21"/>
              </w:rPr>
              <w:t>8-1能够承担团队中各人责任，独立完成团队分配的工作；同时具有组织和协作能力，能倾听团队成员意见，与团队成员共享信息，团结协作完成任务。</w:t>
            </w:r>
          </w:p>
          <w:p>
            <w:pPr>
              <w:spacing w:line="400" w:lineRule="exact"/>
              <w:contextualSpacing/>
              <w:rPr>
                <w:rFonts w:ascii="Times New Roman" w:hAnsi="Times New Roman" w:cs="Times New Roman"/>
                <w:szCs w:val="21"/>
              </w:rPr>
            </w:pPr>
            <w:r>
              <w:rPr>
                <w:rFonts w:hint="eastAsia" w:ascii="Times New Roman" w:hAnsi="Times New Roman" w:cs="Times New Roman"/>
                <w:szCs w:val="21"/>
              </w:rPr>
              <w:t>8-2能够理解学习共同体作用，针对复杂的汉语言文学学科问题与教师、同学、同行进行交流，具有小组互助和合作学习体验。</w:t>
            </w:r>
          </w:p>
          <w:p>
            <w:pPr>
              <w:spacing w:line="400" w:lineRule="exact"/>
              <w:contextualSpacing/>
              <w:rPr>
                <w:rFonts w:ascii="Times New Roman" w:hAnsi="Times New Roman" w:cs="Times New Roman"/>
                <w:szCs w:val="21"/>
              </w:rPr>
            </w:pPr>
            <w:r>
              <w:rPr>
                <w:rFonts w:hint="eastAsia" w:ascii="Times New Roman" w:hAnsi="Times New Roman" w:cs="Times New Roman"/>
                <w:szCs w:val="21"/>
              </w:rPr>
              <w:t>8-3能够理解团队协作精神，针对复杂教育教学、班级管理问题，展开小组互助和合作学习，并能提供合理的决策。</w:t>
            </w:r>
          </w:p>
        </w:tc>
        <w:tc>
          <w:tcPr>
            <w:tcW w:w="1276" w:type="dxa"/>
            <w:vAlign w:val="center"/>
          </w:tcPr>
          <w:p>
            <w:pPr>
              <w:spacing w:line="400" w:lineRule="exact"/>
              <w:contextualSpacing/>
              <w:jc w:val="center"/>
              <w:rPr>
                <w:rFonts w:ascii="Times New Roman" w:hAnsi="Times New Roman" w:cs="Times New Roman"/>
                <w:szCs w:val="21"/>
              </w:rPr>
            </w:pPr>
            <w:r>
              <w:rPr>
                <w:rFonts w:hint="eastAsia" w:ascii="Times New Roman" w:hAnsi="Times New Roman" w:cs="Times New Roman"/>
                <w:b/>
                <w:szCs w:val="21"/>
              </w:rPr>
              <w:t>课程目标</w:t>
            </w:r>
            <w:r>
              <w:rPr>
                <w:rFonts w:ascii="Times New Roman" w:hAnsi="Times New Roman" w:cs="Times New Roman"/>
                <w:b/>
                <w:szCs w:val="21"/>
              </w:rPr>
              <w:t>4</w:t>
            </w:r>
          </w:p>
        </w:tc>
        <w:tc>
          <w:tcPr>
            <w:tcW w:w="1984" w:type="dxa"/>
            <w:vAlign w:val="center"/>
          </w:tcPr>
          <w:p>
            <w:pPr>
              <w:spacing w:line="400" w:lineRule="exact"/>
              <w:contextualSpacing/>
              <w:rPr>
                <w:rFonts w:ascii="Times New Roman" w:hAnsi="Times New Roman" w:cs="Times New Roman"/>
                <w:szCs w:val="21"/>
              </w:rPr>
            </w:pPr>
            <w:r>
              <w:rPr>
                <w:rFonts w:hint="eastAsia" w:ascii="Times New Roman" w:hAnsi="Times New Roman" w:cs="Times New Roman"/>
                <w:szCs w:val="21"/>
              </w:rPr>
              <w:t>因古代文体学本身的要求和课程难度，学生应该相互合作以及师生沟通中完成学习。</w:t>
            </w:r>
          </w:p>
        </w:tc>
      </w:tr>
    </w:tbl>
    <w:p>
      <w:pPr>
        <w:pStyle w:val="3"/>
        <w:spacing w:before="240" w:after="0" w:line="400" w:lineRule="exact"/>
        <w:contextualSpacing/>
        <w:rPr>
          <w:rFonts w:ascii="Times New Roman" w:hAnsi="Times New Roman" w:cs="Times New Roman"/>
          <w:sz w:val="24"/>
          <w:szCs w:val="24"/>
        </w:rPr>
      </w:pPr>
      <w:r>
        <w:rPr>
          <w:rFonts w:hint="eastAsia" w:ascii="Times New Roman" w:hAnsi="Times New Roman" w:cs="Times New Roman"/>
          <w:sz w:val="30"/>
          <w:szCs w:val="30"/>
        </w:rPr>
        <w:t>三</w:t>
      </w:r>
      <w:r>
        <w:rPr>
          <w:rFonts w:ascii="Times New Roman" w:hAnsi="Times New Roman" w:cs="Times New Roman"/>
          <w:sz w:val="30"/>
          <w:szCs w:val="30"/>
        </w:rPr>
        <w:t>、课程教学内容</w:t>
      </w:r>
      <w:r>
        <w:rPr>
          <w:rFonts w:hint="eastAsia" w:ascii="Times New Roman" w:hAnsi="Times New Roman" w:cs="Times New Roman"/>
          <w:sz w:val="30"/>
          <w:szCs w:val="30"/>
        </w:rPr>
        <w:t>、重难点及</w:t>
      </w:r>
      <w:r>
        <w:rPr>
          <w:rFonts w:ascii="Times New Roman" w:hAnsi="Times New Roman" w:cs="Times New Roman"/>
          <w:sz w:val="30"/>
          <w:szCs w:val="30"/>
        </w:rPr>
        <w:t>学时分配</w:t>
      </w:r>
      <w:r>
        <w:rPr>
          <w:rFonts w:ascii="Times New Roman" w:hAnsi="Times New Roman" w:cs="Times New Roman"/>
          <w:sz w:val="24"/>
          <w:szCs w:val="24"/>
        </w:rPr>
        <w:t>（含课程教学、</w:t>
      </w:r>
      <w:r>
        <w:rPr>
          <w:rFonts w:hint="eastAsia" w:ascii="Times New Roman" w:hAnsi="Times New Roman" w:cs="Times New Roman"/>
          <w:sz w:val="24"/>
          <w:szCs w:val="24"/>
        </w:rPr>
        <w:t>学生学习</w:t>
      </w:r>
      <w:r>
        <w:rPr>
          <w:rFonts w:ascii="Times New Roman" w:hAnsi="Times New Roman" w:cs="Times New Roman"/>
          <w:sz w:val="24"/>
          <w:szCs w:val="24"/>
        </w:rPr>
        <w:t>等内容和要求，指明难点内容</w:t>
      </w:r>
      <w:r>
        <w:rPr>
          <w:rFonts w:hint="eastAsia" w:ascii="Times New Roman" w:hAnsi="Times New Roman" w:cs="Times New Roman"/>
          <w:sz w:val="24"/>
          <w:szCs w:val="24"/>
        </w:rPr>
        <w:t>。</w:t>
      </w:r>
      <w:r>
        <w:rPr>
          <w:rFonts w:ascii="Times New Roman" w:hAnsi="Times New Roman" w:cs="Times New Roman"/>
          <w:sz w:val="24"/>
          <w:szCs w:val="24"/>
        </w:rPr>
        <w:t>难点内容：∆）</w:t>
      </w:r>
    </w:p>
    <w:p/>
    <w:tbl>
      <w:tblPr>
        <w:tblStyle w:val="1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551"/>
        <w:gridCol w:w="2826"/>
        <w:gridCol w:w="5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112" w:type="dxa"/>
            <w:gridSpan w:val="2"/>
            <w:vAlign w:val="center"/>
          </w:tcPr>
          <w:p>
            <w:pPr>
              <w:spacing w:line="300" w:lineRule="exact"/>
              <w:jc w:val="center"/>
            </w:pPr>
            <w:r>
              <w:rPr>
                <w:rFonts w:hint="eastAsia"/>
              </w:rPr>
              <w:t>教学内容（难点内容：</w:t>
            </w:r>
            <w:r>
              <w:rPr>
                <w:b/>
              </w:rPr>
              <w:t>∆</w:t>
            </w:r>
            <w:r>
              <w:rPr>
                <w:rFonts w:hint="eastAsia"/>
              </w:rPr>
              <w:t>）</w:t>
            </w:r>
          </w:p>
        </w:tc>
        <w:tc>
          <w:tcPr>
            <w:tcW w:w="2826" w:type="dxa"/>
            <w:vAlign w:val="center"/>
          </w:tcPr>
          <w:p>
            <w:pPr>
              <w:spacing w:line="300" w:lineRule="exact"/>
              <w:jc w:val="center"/>
            </w:pPr>
            <w:r>
              <w:rPr>
                <w:rFonts w:hint="eastAsia"/>
              </w:rPr>
              <w:t>对学生要求</w:t>
            </w:r>
          </w:p>
        </w:tc>
        <w:tc>
          <w:tcPr>
            <w:tcW w:w="576" w:type="dxa"/>
            <w:vAlign w:val="center"/>
          </w:tcPr>
          <w:p>
            <w:pPr>
              <w:spacing w:line="300" w:lineRule="exact"/>
              <w:jc w:val="center"/>
            </w:pPr>
            <w:r>
              <w:rPr>
                <w:rFonts w:hint="eastAsia"/>
              </w:rPr>
              <w:t>课时</w:t>
            </w:r>
          </w:p>
        </w:tc>
        <w:tc>
          <w:tcPr>
            <w:tcW w:w="1701" w:type="dxa"/>
            <w:vAlign w:val="center"/>
          </w:tcPr>
          <w:p>
            <w:pPr>
              <w:spacing w:line="300" w:lineRule="exact"/>
              <w:jc w:val="center"/>
            </w:pPr>
            <w:r>
              <w:rPr>
                <w:rFonts w:hint="eastAsia"/>
              </w:rPr>
              <w:t>对应课程目标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绪论</w:t>
            </w:r>
          </w:p>
          <w:p>
            <w:pPr>
              <w:spacing w:line="300" w:lineRule="exact"/>
              <w:jc w:val="center"/>
              <w:rPr>
                <w:rFonts w:asciiTheme="minorEastAsia" w:hAnsiTheme="minorEastAsia"/>
                <w:sz w:val="22"/>
              </w:rPr>
            </w:pPr>
            <w:r>
              <w:rPr>
                <w:rFonts w:hint="eastAsia" w:asciiTheme="minorEastAsia" w:hAnsiTheme="minorEastAsia"/>
                <w:sz w:val="22"/>
                <w:szCs w:val="21"/>
              </w:rPr>
              <w:t>中国古代文体的发展及分类</w:t>
            </w:r>
          </w:p>
        </w:tc>
        <w:tc>
          <w:tcPr>
            <w:tcW w:w="2551" w:type="dxa"/>
            <w:vAlign w:val="center"/>
          </w:tcPr>
          <w:p>
            <w:pPr>
              <w:spacing w:line="300" w:lineRule="exact"/>
              <w:jc w:val="left"/>
              <w:rPr>
                <w:rFonts w:ascii="微软雅黑" w:hAnsi="微软雅黑" w:eastAsia="微软雅黑" w:cs="微软雅黑"/>
                <w:sz w:val="22"/>
                <w:szCs w:val="21"/>
              </w:rPr>
            </w:pPr>
            <w:r>
              <w:rPr>
                <w:rFonts w:asciiTheme="minorEastAsia" w:hAnsiTheme="minorEastAsia"/>
                <w:b w:val="0"/>
                <w:sz w:val="22"/>
                <w:szCs w:val="21"/>
              </w:rPr>
              <w:t>1.</w:t>
            </w:r>
            <w:r>
              <w:rPr>
                <w:rFonts w:hint="eastAsia" w:asciiTheme="minorEastAsia" w:hAnsiTheme="minorEastAsia"/>
                <w:sz w:val="22"/>
                <w:szCs w:val="21"/>
              </w:rPr>
              <w:t>古代文体分类的基本情况。</w:t>
            </w:r>
            <w:r>
              <w:rPr>
                <w:rFonts w:ascii="微软雅黑" w:hAnsi="微软雅黑" w:eastAsia="微软雅黑" w:cs="微软雅黑"/>
                <w:b w:val="0"/>
                <w:sz w:val="22"/>
                <w:szCs w:val="21"/>
              </w:rPr>
              <w:t>∆</w:t>
            </w:r>
          </w:p>
          <w:p>
            <w:pPr>
              <w:spacing w:line="300" w:lineRule="exact"/>
              <w:jc w:val="left"/>
              <w:rPr>
                <w:rFonts w:asciiTheme="minorEastAsia" w:hAnsiTheme="minorEastAsia"/>
                <w:sz w:val="22"/>
                <w:szCs w:val="21"/>
              </w:rPr>
            </w:pPr>
            <w:r>
              <w:rPr>
                <w:rFonts w:ascii="宋体" w:hAnsi="宋体" w:eastAsia="宋体" w:cs="微软雅黑"/>
                <w:sz w:val="22"/>
                <w:szCs w:val="21"/>
              </w:rPr>
              <w:t>2.</w:t>
            </w:r>
            <w:r>
              <w:rPr>
                <w:rFonts w:hint="eastAsia" w:ascii="宋体" w:hAnsi="宋体" w:eastAsia="宋体" w:cs="微软雅黑"/>
                <w:sz w:val="22"/>
                <w:szCs w:val="21"/>
              </w:rPr>
              <w:t>古代文体的发生与发展。</w:t>
            </w:r>
          </w:p>
        </w:tc>
        <w:tc>
          <w:tcPr>
            <w:tcW w:w="2826" w:type="dxa"/>
            <w:vAlign w:val="center"/>
          </w:tcPr>
          <w:p>
            <w:pPr>
              <w:spacing w:line="300" w:lineRule="exact"/>
              <w:jc w:val="left"/>
              <w:rPr>
                <w:rFonts w:cs="黑体" w:asciiTheme="minorEastAsia" w:hAnsiTheme="minorEastAsia"/>
                <w:sz w:val="22"/>
                <w:szCs w:val="21"/>
                <w:lang w:val="zh-CN"/>
              </w:rPr>
            </w:pPr>
            <w:r>
              <w:rPr>
                <w:rFonts w:hint="eastAsia" w:asciiTheme="minorEastAsia" w:hAnsiTheme="minorEastAsia"/>
                <w:sz w:val="22"/>
                <w:szCs w:val="21"/>
              </w:rPr>
              <w:t>要求学生了解中国古代文体发展变化概况掌握文体分类情况。</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4</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第一章</w:t>
            </w:r>
          </w:p>
          <w:p>
            <w:pPr>
              <w:spacing w:line="300" w:lineRule="exact"/>
              <w:jc w:val="center"/>
              <w:rPr>
                <w:rFonts w:asciiTheme="minorEastAsia" w:hAnsiTheme="minorEastAsia"/>
                <w:sz w:val="22"/>
              </w:rPr>
            </w:pPr>
            <w:r>
              <w:rPr>
                <w:rFonts w:hint="eastAsia" w:asciiTheme="minorEastAsia" w:hAnsiTheme="minorEastAsia"/>
                <w:sz w:val="22"/>
                <w:szCs w:val="21"/>
              </w:rPr>
              <w:t>四言诗体</w:t>
            </w:r>
          </w:p>
        </w:tc>
        <w:tc>
          <w:tcPr>
            <w:tcW w:w="2551" w:type="dxa"/>
            <w:vAlign w:val="center"/>
          </w:tcPr>
          <w:p>
            <w:pPr>
              <w:spacing w:line="300" w:lineRule="exact"/>
              <w:jc w:val="left"/>
              <w:rPr>
                <w:rFonts w:asciiTheme="minorEastAsia" w:hAnsiTheme="minorEastAsia"/>
                <w:b w:val="0"/>
                <w:sz w:val="22"/>
                <w:szCs w:val="21"/>
              </w:rPr>
            </w:pPr>
            <w:r>
              <w:rPr>
                <w:rFonts w:asciiTheme="minorEastAsia" w:hAnsiTheme="minorEastAsia"/>
                <w:b w:val="0"/>
                <w:sz w:val="22"/>
                <w:szCs w:val="21"/>
              </w:rPr>
              <w:t>1.</w:t>
            </w:r>
            <w:r>
              <w:rPr>
                <w:rFonts w:hint="eastAsia" w:asciiTheme="minorEastAsia" w:hAnsiTheme="minorEastAsia"/>
                <w:sz w:val="22"/>
                <w:szCs w:val="21"/>
              </w:rPr>
              <w:t>四言诗的产生及发展。</w:t>
            </w:r>
          </w:p>
          <w:p>
            <w:pPr>
              <w:spacing w:line="300" w:lineRule="exact"/>
              <w:jc w:val="left"/>
              <w:rPr>
                <w:rFonts w:asciiTheme="minorEastAsia" w:hAnsiTheme="minorEastAsia"/>
                <w:sz w:val="22"/>
                <w:szCs w:val="21"/>
              </w:rPr>
            </w:pPr>
            <w:r>
              <w:rPr>
                <w:rFonts w:asciiTheme="minorEastAsia" w:hAnsiTheme="minorEastAsia"/>
                <w:b w:val="0"/>
                <w:sz w:val="22"/>
                <w:szCs w:val="21"/>
              </w:rPr>
              <w:t>2.</w:t>
            </w:r>
            <w:r>
              <w:rPr>
                <w:rFonts w:hint="eastAsia" w:asciiTheme="minorEastAsia" w:hAnsiTheme="minorEastAsia"/>
                <w:sz w:val="22"/>
                <w:szCs w:val="21"/>
              </w:rPr>
              <w:t>四言诗的体制特点。</w:t>
            </w:r>
            <w:r>
              <w:rPr>
                <w:rFonts w:hint="eastAsia" w:ascii="微软雅黑" w:hAnsi="微软雅黑" w:eastAsia="微软雅黑" w:cs="微软雅黑"/>
                <w:sz w:val="22"/>
                <w:szCs w:val="21"/>
              </w:rPr>
              <w:t>∆</w:t>
            </w:r>
          </w:p>
        </w:tc>
        <w:tc>
          <w:tcPr>
            <w:tcW w:w="2826" w:type="dxa"/>
            <w:vAlign w:val="center"/>
          </w:tcPr>
          <w:p>
            <w:pPr>
              <w:spacing w:line="300" w:lineRule="exact"/>
              <w:rPr>
                <w:rFonts w:asciiTheme="minorEastAsia" w:hAnsiTheme="minorEastAsia"/>
                <w:sz w:val="22"/>
                <w:szCs w:val="21"/>
              </w:rPr>
            </w:pPr>
            <w:r>
              <w:rPr>
                <w:rFonts w:hint="eastAsia" w:asciiTheme="minorEastAsia" w:hAnsiTheme="minorEastAsia"/>
                <w:sz w:val="22"/>
                <w:szCs w:val="21"/>
              </w:rPr>
              <w:t>要求学生掌握四言诗的特点与发展情况。</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2</w:t>
            </w:r>
          </w:p>
        </w:tc>
        <w:tc>
          <w:tcPr>
            <w:tcW w:w="170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支撑课程目标</w:t>
            </w:r>
          </w:p>
          <w:p>
            <w:pPr>
              <w:spacing w:line="300" w:lineRule="exact"/>
              <w:jc w:val="center"/>
              <w:rPr>
                <w:rFonts w:asciiTheme="minorEastAsia" w:hAnsiTheme="minorEastAsia"/>
                <w:sz w:val="22"/>
              </w:rPr>
            </w:pPr>
            <w:r>
              <w:rPr>
                <w:rFonts w:asciiTheme="minorEastAsia" w:hAnsiTheme="minorEastAsia"/>
                <w:sz w:val="22"/>
                <w:szCs w:val="21"/>
              </w:rPr>
              <w:t>1</w:t>
            </w:r>
            <w:r>
              <w:rPr>
                <w:rFonts w:hint="eastAsia" w:asciiTheme="minorEastAsia" w:hAnsiTheme="minorEastAsia"/>
                <w:sz w:val="22"/>
                <w:szCs w:val="21"/>
              </w:rPr>
              <w:t>、</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第二章</w:t>
            </w:r>
          </w:p>
          <w:p>
            <w:pPr>
              <w:spacing w:line="300" w:lineRule="exact"/>
              <w:jc w:val="center"/>
              <w:rPr>
                <w:rFonts w:asciiTheme="minorEastAsia" w:hAnsiTheme="minorEastAsia"/>
                <w:sz w:val="22"/>
              </w:rPr>
            </w:pPr>
            <w:r>
              <w:rPr>
                <w:rFonts w:hint="eastAsia" w:asciiTheme="minorEastAsia" w:hAnsiTheme="minorEastAsia"/>
                <w:sz w:val="22"/>
                <w:szCs w:val="21"/>
              </w:rPr>
              <w:t>楚辞体</w:t>
            </w:r>
          </w:p>
        </w:tc>
        <w:tc>
          <w:tcPr>
            <w:tcW w:w="2551" w:type="dxa"/>
            <w:vAlign w:val="center"/>
          </w:tcPr>
          <w:p>
            <w:pPr>
              <w:spacing w:line="300" w:lineRule="exact"/>
              <w:jc w:val="left"/>
              <w:rPr>
                <w:rFonts w:asciiTheme="minorEastAsia" w:hAnsiTheme="minorEastAsia"/>
                <w:b w:val="0"/>
                <w:sz w:val="22"/>
                <w:szCs w:val="21"/>
              </w:rPr>
            </w:pPr>
            <w:r>
              <w:rPr>
                <w:rFonts w:asciiTheme="minorEastAsia" w:hAnsiTheme="minorEastAsia"/>
                <w:b w:val="0"/>
                <w:sz w:val="22"/>
                <w:szCs w:val="21"/>
              </w:rPr>
              <w:t>1.</w:t>
            </w:r>
            <w:r>
              <w:rPr>
                <w:rFonts w:hint="eastAsia" w:asciiTheme="minorEastAsia" w:hAnsiTheme="minorEastAsia"/>
                <w:sz w:val="22"/>
                <w:szCs w:val="21"/>
              </w:rPr>
              <w:t>楚辞体的流变。</w:t>
            </w:r>
          </w:p>
          <w:p>
            <w:pPr>
              <w:spacing w:line="300" w:lineRule="exact"/>
              <w:jc w:val="left"/>
              <w:rPr>
                <w:rFonts w:asciiTheme="minorEastAsia" w:hAnsiTheme="minorEastAsia"/>
                <w:sz w:val="22"/>
                <w:szCs w:val="21"/>
              </w:rPr>
            </w:pPr>
            <w:r>
              <w:rPr>
                <w:rFonts w:asciiTheme="minorEastAsia" w:hAnsiTheme="minorEastAsia"/>
                <w:b w:val="0"/>
                <w:sz w:val="22"/>
                <w:szCs w:val="21"/>
              </w:rPr>
              <w:t>2.</w:t>
            </w:r>
            <w:r>
              <w:rPr>
                <w:rFonts w:hint="eastAsia" w:asciiTheme="minorEastAsia" w:hAnsiTheme="minorEastAsia"/>
                <w:sz w:val="22"/>
                <w:szCs w:val="21"/>
              </w:rPr>
              <w:t>楚辞体的形成和特点。</w:t>
            </w:r>
            <w:r>
              <w:rPr>
                <w:rFonts w:ascii="微软雅黑" w:hAnsi="微软雅黑" w:eastAsia="微软雅黑" w:cs="微软雅黑"/>
                <w:b w:val="0"/>
                <w:sz w:val="22"/>
                <w:szCs w:val="21"/>
              </w:rPr>
              <w:t>∆</w:t>
            </w:r>
          </w:p>
        </w:tc>
        <w:tc>
          <w:tcPr>
            <w:tcW w:w="2826"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要求学生了解楚辞体的变化情况和体制特点。</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支撑课程目标1、</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第三章</w:t>
            </w:r>
          </w:p>
          <w:p>
            <w:pPr>
              <w:spacing w:line="300" w:lineRule="exact"/>
              <w:jc w:val="center"/>
              <w:rPr>
                <w:rFonts w:asciiTheme="minorEastAsia" w:hAnsiTheme="minorEastAsia"/>
                <w:sz w:val="22"/>
              </w:rPr>
            </w:pPr>
            <w:r>
              <w:rPr>
                <w:rFonts w:hint="eastAsia" w:asciiTheme="minorEastAsia" w:hAnsiTheme="minorEastAsia"/>
                <w:sz w:val="22"/>
                <w:szCs w:val="21"/>
              </w:rPr>
              <w:t>古体诗</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古体诗的范围和类别。</w:t>
            </w:r>
          </w:p>
          <w:p>
            <w:pPr>
              <w:spacing w:line="300" w:lineRule="exact"/>
              <w:jc w:val="left"/>
              <w:rPr>
                <w:rFonts w:ascii="微软雅黑" w:hAnsi="微软雅黑" w:eastAsia="微软雅黑" w:cs="微软雅黑"/>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古体诗的体制特点。</w:t>
            </w:r>
            <w:r>
              <w:rPr>
                <w:rFonts w:hint="eastAsia" w:ascii="微软雅黑" w:hAnsi="微软雅黑" w:eastAsia="微软雅黑" w:cs="微软雅黑"/>
                <w:sz w:val="22"/>
                <w:szCs w:val="21"/>
              </w:rPr>
              <w:t>∆</w:t>
            </w:r>
          </w:p>
          <w:p>
            <w:pPr>
              <w:spacing w:line="300" w:lineRule="exact"/>
              <w:jc w:val="left"/>
              <w:rPr>
                <w:rFonts w:hint="eastAsia" w:ascii="宋体" w:hAnsi="宋体" w:eastAsia="宋体"/>
                <w:sz w:val="22"/>
                <w:szCs w:val="21"/>
              </w:rPr>
            </w:pPr>
            <w:r>
              <w:rPr>
                <w:rFonts w:ascii="宋体" w:hAnsi="宋体" w:eastAsia="宋体" w:cs="微软雅黑"/>
                <w:sz w:val="22"/>
                <w:szCs w:val="21"/>
              </w:rPr>
              <w:t>3.</w:t>
            </w:r>
            <w:r>
              <w:rPr>
                <w:rFonts w:hint="eastAsia" w:ascii="宋体" w:hAnsi="宋体" w:eastAsia="宋体" w:cs="微软雅黑"/>
                <w:sz w:val="22"/>
                <w:szCs w:val="21"/>
              </w:rPr>
              <w:t>古体诗的流变。</w:t>
            </w:r>
          </w:p>
        </w:tc>
        <w:tc>
          <w:tcPr>
            <w:tcW w:w="2826"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要求学生掌握古体诗的范围及特点。</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支撑课程目标1、</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第四章</w:t>
            </w:r>
          </w:p>
          <w:p>
            <w:pPr>
              <w:spacing w:line="300" w:lineRule="exact"/>
              <w:jc w:val="center"/>
              <w:rPr>
                <w:rFonts w:asciiTheme="minorEastAsia" w:hAnsiTheme="minorEastAsia"/>
                <w:sz w:val="22"/>
              </w:rPr>
            </w:pPr>
            <w:r>
              <w:rPr>
                <w:rFonts w:hint="eastAsia" w:asciiTheme="minorEastAsia" w:hAnsiTheme="minorEastAsia"/>
                <w:sz w:val="22"/>
                <w:szCs w:val="21"/>
              </w:rPr>
              <w:t>近体诗</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近体诗的起源及分类。</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近体诗的格律常识。</w:t>
            </w:r>
            <w:r>
              <w:rPr>
                <w:rFonts w:hint="eastAsia" w:ascii="微软雅黑" w:hAnsi="微软雅黑" w:eastAsia="微软雅黑" w:cs="微软雅黑"/>
                <w:sz w:val="22"/>
                <w:szCs w:val="21"/>
              </w:rPr>
              <w:t>∆</w:t>
            </w:r>
          </w:p>
        </w:tc>
        <w:tc>
          <w:tcPr>
            <w:tcW w:w="2826"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要求学生了解格律诗的发生发展情况掌握格律诗的基本特征。</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4</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支撑课程目标1、</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第五章</w:t>
            </w:r>
          </w:p>
          <w:p>
            <w:pPr>
              <w:spacing w:line="300" w:lineRule="exact"/>
              <w:jc w:val="center"/>
              <w:rPr>
                <w:rFonts w:asciiTheme="minorEastAsia" w:hAnsiTheme="minorEastAsia"/>
                <w:sz w:val="22"/>
              </w:rPr>
            </w:pPr>
            <w:r>
              <w:rPr>
                <w:rFonts w:hint="eastAsia" w:asciiTheme="minorEastAsia" w:hAnsiTheme="minorEastAsia"/>
                <w:sz w:val="22"/>
                <w:szCs w:val="21"/>
              </w:rPr>
              <w:t>词</w:t>
            </w:r>
          </w:p>
        </w:tc>
        <w:tc>
          <w:tcPr>
            <w:tcW w:w="2551" w:type="dxa"/>
            <w:vAlign w:val="center"/>
          </w:tcPr>
          <w:p>
            <w:pPr>
              <w:spacing w:line="300" w:lineRule="exact"/>
              <w:jc w:val="left"/>
              <w:rPr>
                <w:rFonts w:asciiTheme="minorEastAsia" w:hAnsiTheme="minorEastAsia"/>
                <w:sz w:val="22"/>
                <w:szCs w:val="21"/>
              </w:rPr>
            </w:pPr>
            <w:r>
              <w:rPr>
                <w:rFonts w:asciiTheme="minorEastAsia" w:hAnsiTheme="minorEastAsia"/>
                <w:sz w:val="22"/>
                <w:szCs w:val="21"/>
              </w:rPr>
              <w:t>1.</w:t>
            </w:r>
            <w:r>
              <w:rPr>
                <w:rFonts w:hint="eastAsia" w:asciiTheme="minorEastAsia" w:hAnsiTheme="minorEastAsia"/>
                <w:sz w:val="22"/>
                <w:szCs w:val="21"/>
              </w:rPr>
              <w:t>词的起源与流变。</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词的体制特点。</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要求学生掌握词体的发展、类别和体制特点。</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4</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支撑课程目标1、</w:t>
            </w:r>
            <w:r>
              <w:rPr>
                <w:rFonts w:asciiTheme="minorEastAsia" w:hAnsiTheme="minorEastAsia"/>
                <w:sz w:val="22"/>
                <w:szCs w:val="21"/>
              </w:rPr>
              <w:t>2</w:t>
            </w:r>
            <w:r>
              <w:rPr>
                <w:rFonts w:hint="eastAsia" w:asciiTheme="minorEastAsia" w:hAnsiTheme="minorEastAsia"/>
                <w:sz w:val="2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第六章</w:t>
            </w:r>
          </w:p>
          <w:p>
            <w:pPr>
              <w:spacing w:line="300" w:lineRule="exact"/>
              <w:jc w:val="center"/>
              <w:rPr>
                <w:rFonts w:asciiTheme="minorEastAsia" w:hAnsiTheme="minorEastAsia"/>
                <w:sz w:val="22"/>
                <w:szCs w:val="21"/>
              </w:rPr>
            </w:pPr>
            <w:r>
              <w:rPr>
                <w:rFonts w:hint="eastAsia" w:asciiTheme="minorEastAsia" w:hAnsiTheme="minorEastAsia"/>
                <w:sz w:val="22"/>
                <w:szCs w:val="21"/>
              </w:rPr>
              <w:t>散曲</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散曲的流变。</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散曲的体制特点。</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要求学生了解散曲的基本特点。</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第七章</w:t>
            </w:r>
          </w:p>
          <w:p>
            <w:pPr>
              <w:spacing w:line="300" w:lineRule="exact"/>
              <w:jc w:val="center"/>
              <w:rPr>
                <w:rFonts w:asciiTheme="minorEastAsia" w:hAnsiTheme="minorEastAsia"/>
                <w:sz w:val="22"/>
                <w:szCs w:val="21"/>
              </w:rPr>
            </w:pPr>
            <w:r>
              <w:rPr>
                <w:rFonts w:hint="eastAsia" w:asciiTheme="minorEastAsia" w:hAnsiTheme="minorEastAsia"/>
                <w:sz w:val="22"/>
                <w:szCs w:val="21"/>
              </w:rPr>
              <w:t>赋体</w:t>
            </w:r>
          </w:p>
        </w:tc>
        <w:tc>
          <w:tcPr>
            <w:tcW w:w="2551" w:type="dxa"/>
            <w:vAlign w:val="center"/>
          </w:tcPr>
          <w:p>
            <w:pPr>
              <w:spacing w:line="300" w:lineRule="exact"/>
              <w:jc w:val="left"/>
              <w:rPr>
                <w:rFonts w:asciiTheme="minorEastAsia" w:hAnsiTheme="minorEastAsia"/>
                <w:sz w:val="22"/>
                <w:szCs w:val="21"/>
              </w:rPr>
            </w:pPr>
            <w:r>
              <w:rPr>
                <w:rFonts w:asciiTheme="minorEastAsia" w:hAnsiTheme="minorEastAsia"/>
                <w:sz w:val="22"/>
                <w:szCs w:val="21"/>
              </w:rPr>
              <w:t>1.</w:t>
            </w:r>
            <w:r>
              <w:rPr>
                <w:rFonts w:hint="eastAsia" w:asciiTheme="minorEastAsia" w:hAnsiTheme="minorEastAsia"/>
                <w:sz w:val="22"/>
                <w:szCs w:val="21"/>
              </w:rPr>
              <w:t>赋的起源和流变。</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赋的分类和特点。</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要求学生了解赋体的分类和特点。</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szCs w:val="21"/>
              </w:rPr>
              <w:t>支撑课程目标1、2、3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第八章</w:t>
            </w:r>
          </w:p>
          <w:p>
            <w:pPr>
              <w:spacing w:line="300" w:lineRule="exact"/>
              <w:jc w:val="center"/>
              <w:rPr>
                <w:rFonts w:asciiTheme="minorEastAsia" w:hAnsiTheme="minorEastAsia"/>
                <w:sz w:val="22"/>
                <w:szCs w:val="21"/>
              </w:rPr>
            </w:pPr>
            <w:r>
              <w:rPr>
                <w:rFonts w:hint="eastAsia" w:asciiTheme="minorEastAsia" w:hAnsiTheme="minorEastAsia"/>
                <w:sz w:val="22"/>
                <w:szCs w:val="21"/>
              </w:rPr>
              <w:t>骈体文</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骈体文的界说与演变。</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骈体文的体制特点。</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要求学生了解骈体文的体制特点。</w:t>
            </w:r>
          </w:p>
        </w:tc>
        <w:tc>
          <w:tcPr>
            <w:tcW w:w="576" w:type="dxa"/>
            <w:vAlign w:val="center"/>
          </w:tcPr>
          <w:p>
            <w:pPr>
              <w:spacing w:line="300" w:lineRule="exact"/>
              <w:jc w:val="center"/>
              <w:rPr>
                <w:rFonts w:asciiTheme="minorEastAsia" w:hAnsiTheme="minorEastAsia"/>
                <w:sz w:val="22"/>
              </w:rPr>
            </w:pPr>
            <w:r>
              <w:rPr>
                <w:rFonts w:hint="eastAsia" w:asciiTheme="minorEastAsia" w:hAnsiTheme="minorEastAsia"/>
                <w:sz w:val="22"/>
              </w:rPr>
              <w:t>2</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561" w:type="dxa"/>
            <w:vAlign w:val="center"/>
          </w:tcPr>
          <w:p>
            <w:pPr>
              <w:spacing w:line="300" w:lineRule="exact"/>
              <w:jc w:val="center"/>
              <w:rPr>
                <w:rFonts w:asciiTheme="minorEastAsia" w:hAnsiTheme="minorEastAsia"/>
                <w:sz w:val="22"/>
                <w:szCs w:val="21"/>
              </w:rPr>
            </w:pPr>
            <w:r>
              <w:rPr>
                <w:rFonts w:hint="eastAsia" w:asciiTheme="minorEastAsia" w:hAnsiTheme="minorEastAsia"/>
                <w:sz w:val="22"/>
                <w:szCs w:val="21"/>
              </w:rPr>
              <w:t>第九章</w:t>
            </w:r>
          </w:p>
          <w:p>
            <w:pPr>
              <w:spacing w:line="300" w:lineRule="exact"/>
              <w:jc w:val="center"/>
              <w:rPr>
                <w:rFonts w:asciiTheme="minorEastAsia" w:hAnsiTheme="minorEastAsia"/>
                <w:sz w:val="22"/>
                <w:szCs w:val="21"/>
              </w:rPr>
            </w:pPr>
            <w:r>
              <w:rPr>
                <w:rFonts w:hint="eastAsia" w:asciiTheme="minorEastAsia" w:hAnsiTheme="minorEastAsia"/>
                <w:sz w:val="22"/>
                <w:szCs w:val="21"/>
              </w:rPr>
              <w:t>散体文</w:t>
            </w:r>
          </w:p>
        </w:tc>
        <w:tc>
          <w:tcPr>
            <w:tcW w:w="2551" w:type="dxa"/>
            <w:vAlign w:val="center"/>
          </w:tcPr>
          <w:p>
            <w:pPr>
              <w:spacing w:line="300" w:lineRule="exact"/>
              <w:jc w:val="left"/>
              <w:rPr>
                <w:rFonts w:asciiTheme="minorEastAsia" w:hAnsiTheme="minorEastAsia"/>
                <w:sz w:val="22"/>
                <w:szCs w:val="21"/>
              </w:rPr>
            </w:pPr>
            <w:r>
              <w:rPr>
                <w:rFonts w:hint="eastAsia" w:asciiTheme="minorEastAsia" w:hAnsiTheme="minorEastAsia"/>
                <w:sz w:val="22"/>
                <w:szCs w:val="21"/>
              </w:rPr>
              <w:t>1</w:t>
            </w:r>
            <w:r>
              <w:rPr>
                <w:rFonts w:asciiTheme="minorEastAsia" w:hAnsiTheme="minorEastAsia"/>
                <w:sz w:val="22"/>
                <w:szCs w:val="21"/>
              </w:rPr>
              <w:t>.</w:t>
            </w:r>
            <w:r>
              <w:rPr>
                <w:rFonts w:hint="eastAsia" w:asciiTheme="minorEastAsia" w:hAnsiTheme="minorEastAsia"/>
                <w:sz w:val="22"/>
                <w:szCs w:val="21"/>
              </w:rPr>
              <w:t>散体文的发展流变。</w:t>
            </w:r>
          </w:p>
          <w:p>
            <w:pPr>
              <w:spacing w:line="300" w:lineRule="exact"/>
              <w:jc w:val="left"/>
              <w:rPr>
                <w:rFonts w:asciiTheme="minorEastAsia" w:hAnsiTheme="minorEastAsia"/>
                <w:sz w:val="22"/>
                <w:szCs w:val="21"/>
              </w:rPr>
            </w:pPr>
            <w:r>
              <w:rPr>
                <w:rFonts w:hint="eastAsia" w:asciiTheme="minorEastAsia" w:hAnsiTheme="minorEastAsia"/>
                <w:sz w:val="22"/>
                <w:szCs w:val="21"/>
              </w:rPr>
              <w:t>2</w:t>
            </w:r>
            <w:r>
              <w:rPr>
                <w:rFonts w:asciiTheme="minorEastAsia" w:hAnsiTheme="minorEastAsia"/>
                <w:sz w:val="22"/>
                <w:szCs w:val="21"/>
              </w:rPr>
              <w:t>.</w:t>
            </w:r>
            <w:r>
              <w:rPr>
                <w:rFonts w:hint="eastAsia" w:asciiTheme="minorEastAsia" w:hAnsiTheme="minorEastAsia"/>
                <w:sz w:val="22"/>
                <w:szCs w:val="21"/>
              </w:rPr>
              <w:t>散体文的种类及特点。</w:t>
            </w:r>
            <w:r>
              <w:rPr>
                <w:rFonts w:hint="eastAsia" w:ascii="微软雅黑" w:hAnsi="微软雅黑" w:eastAsia="微软雅黑" w:cs="微软雅黑"/>
                <w:sz w:val="22"/>
                <w:szCs w:val="21"/>
              </w:rPr>
              <w:t>∆</w:t>
            </w:r>
          </w:p>
        </w:tc>
        <w:tc>
          <w:tcPr>
            <w:tcW w:w="2826" w:type="dxa"/>
            <w:vAlign w:val="center"/>
          </w:tcPr>
          <w:p>
            <w:pPr>
              <w:widowControl/>
              <w:autoSpaceDE w:val="0"/>
              <w:autoSpaceDN w:val="0"/>
              <w:spacing w:line="300" w:lineRule="exact"/>
              <w:textAlignment w:val="bottom"/>
              <w:rPr>
                <w:rFonts w:asciiTheme="minorEastAsia" w:hAnsiTheme="minorEastAsia"/>
                <w:sz w:val="22"/>
                <w:szCs w:val="21"/>
              </w:rPr>
            </w:pPr>
            <w:r>
              <w:rPr>
                <w:rFonts w:hint="eastAsia" w:asciiTheme="minorEastAsia" w:hAnsiTheme="minorEastAsia"/>
                <w:sz w:val="22"/>
                <w:szCs w:val="21"/>
              </w:rPr>
              <w:t>要求学生了解散体文的发展情况掌握散体文主要文体的基本特点。</w:t>
            </w:r>
          </w:p>
        </w:tc>
        <w:tc>
          <w:tcPr>
            <w:tcW w:w="576" w:type="dxa"/>
            <w:vAlign w:val="center"/>
          </w:tcPr>
          <w:p>
            <w:pPr>
              <w:spacing w:line="300" w:lineRule="exact"/>
              <w:jc w:val="center"/>
              <w:rPr>
                <w:rFonts w:asciiTheme="minorEastAsia" w:hAnsiTheme="minorEastAsia"/>
                <w:sz w:val="22"/>
              </w:rPr>
            </w:pPr>
            <w:r>
              <w:rPr>
                <w:rFonts w:asciiTheme="minorEastAsia" w:hAnsiTheme="minorEastAsia"/>
                <w:sz w:val="22"/>
              </w:rPr>
              <w:t>8</w:t>
            </w:r>
          </w:p>
        </w:tc>
        <w:tc>
          <w:tcPr>
            <w:tcW w:w="1701" w:type="dxa"/>
            <w:vAlign w:val="center"/>
          </w:tcPr>
          <w:p>
            <w:pPr>
              <w:spacing w:line="300" w:lineRule="exact"/>
              <w:jc w:val="center"/>
              <w:rPr>
                <w:rFonts w:asciiTheme="minorEastAsia" w:hAnsiTheme="minorEastAsia"/>
                <w:sz w:val="22"/>
              </w:rPr>
            </w:pPr>
            <w:r>
              <w:rPr>
                <w:rFonts w:hint="eastAsia" w:asciiTheme="minorEastAsia" w:hAnsiTheme="minorEastAsia"/>
                <w:sz w:val="22"/>
              </w:rPr>
              <w:t>支撑课程目标1、2、3</w:t>
            </w:r>
          </w:p>
        </w:tc>
      </w:tr>
    </w:tbl>
    <w:p>
      <w:pPr>
        <w:pStyle w:val="3"/>
        <w:spacing w:before="240" w:after="0" w:line="400" w:lineRule="exact"/>
        <w:contextualSpacing/>
        <w:rPr>
          <w:rFonts w:ascii="Times New Roman" w:hAnsi="Times New Roman" w:cs="Times New Roman"/>
          <w:sz w:val="30"/>
          <w:szCs w:val="30"/>
        </w:rPr>
      </w:pPr>
      <w:r>
        <w:rPr>
          <w:rFonts w:hint="eastAsia" w:ascii="Times New Roman" w:cs="Times New Roman"/>
          <w:sz w:val="30"/>
          <w:szCs w:val="30"/>
        </w:rPr>
        <w:t>四</w:t>
      </w:r>
      <w:r>
        <w:rPr>
          <w:rFonts w:ascii="Times New Roman" w:cs="Times New Roman"/>
          <w:sz w:val="30"/>
          <w:szCs w:val="30"/>
        </w:rPr>
        <w:t>、教学方法</w:t>
      </w:r>
    </w:p>
    <w:p>
      <w:pPr>
        <w:pStyle w:val="3"/>
        <w:snapToGrid w:val="0"/>
        <w:spacing w:before="240" w:after="0" w:line="400" w:lineRule="exact"/>
        <w:contextualSpacing/>
        <w:rPr>
          <w:rFonts w:ascii="Times New Roman" w:cs="Times New Roman"/>
          <w:sz w:val="30"/>
          <w:szCs w:val="30"/>
        </w:rPr>
      </w:pPr>
    </w:p>
    <w:p>
      <w:pPr>
        <w:spacing w:line="400" w:lineRule="exact"/>
        <w:ind w:firstLine="480" w:firstLineChars="200"/>
        <w:rPr>
          <w:sz w:val="24"/>
          <w:szCs w:val="24"/>
        </w:rPr>
      </w:pPr>
      <w:r>
        <w:rPr>
          <w:rFonts w:hint="eastAsia"/>
          <w:sz w:val="24"/>
          <w:szCs w:val="24"/>
        </w:rPr>
        <w:t>描述中国古代各类文体的生成、发展和演变，是贯穿文学史教学的一条重要线索，也是文学史研究的重要课题。近些年来，中国古代文体的研究取得长足的进展，文学史教学的文体意识也得到了强化，但仍有一些问题值得深入思索，需要在教学和科研实践中逐步、妥善地加以解决。文体名称的追本溯源文学史教学的重要任务是使学生对中国古代文学有一个全面的把握，在知识上具有系统性。不仅如此，这门教学还要有一定的深度，对于相关的文学现象，不但要知其然，而且还要知其所以然。具体落实到文体上，就是不仅要知道某种文体的生成根据、发展演变，而且要了解文体名称的由来。而对于文体名称进行追本溯源，正是文学史教学和研究的薄弱环节。对古代文体名称的由来进行追本溯源，一方面要借鉴古人相关的论述，即他们对某种文体所下的定义，同时，还要充分利用古汉语、古文字的研究成果，把这两方面的材料有机地结合起来。</w:t>
      </w:r>
    </w:p>
    <w:p>
      <w:pPr>
        <w:pStyle w:val="3"/>
        <w:snapToGrid w:val="0"/>
        <w:spacing w:before="240" w:after="0" w:line="400" w:lineRule="exact"/>
        <w:contextualSpacing/>
        <w:rPr>
          <w:rFonts w:ascii="Times New Roman" w:cs="Times New Roman"/>
          <w:sz w:val="30"/>
          <w:szCs w:val="30"/>
        </w:rPr>
      </w:pPr>
      <w:r>
        <w:rPr>
          <w:rFonts w:hint="eastAsia" w:ascii="Times New Roman" w:cs="Times New Roman"/>
          <w:sz w:val="30"/>
          <w:szCs w:val="30"/>
        </w:rPr>
        <w:t>五、实践教学安排</w:t>
      </w:r>
    </w:p>
    <w:p>
      <w:pPr>
        <w:spacing w:line="400" w:lineRule="exact"/>
        <w:ind w:firstLine="480" w:firstLineChars="200"/>
        <w:rPr>
          <w:rFonts w:ascii="宋体" w:hAnsi="宋体" w:eastAsia="宋体"/>
          <w:sz w:val="24"/>
          <w:szCs w:val="24"/>
        </w:rPr>
      </w:pPr>
    </w:p>
    <w:p>
      <w:pPr>
        <w:spacing w:line="400" w:lineRule="exact"/>
        <w:ind w:firstLine="480" w:firstLineChars="200"/>
        <w:rPr>
          <w:rFonts w:ascii="宋体" w:hAnsi="宋体"/>
          <w:sz w:val="24"/>
          <w:szCs w:val="24"/>
        </w:rPr>
      </w:pPr>
      <w:r>
        <w:rPr>
          <w:rFonts w:hint="eastAsia" w:ascii="宋体" w:hAnsi="宋体"/>
          <w:sz w:val="24"/>
          <w:szCs w:val="24"/>
        </w:rPr>
        <w:t>文体分类是相对的，并不具有绝对意义，但是各类文体的划分又是必要的，不能把各种类别的文体相混淆。把不同类别的文体加以区分，这是文学史教学和研究的基本原则和重要任务之一。可是有些时候并不能遵循这个原则，而是把不同的文体相混淆。比如，先秦文学史通常把史传散文和诸子散文划分为两个板块，这样的划分未尝不可，问题出在对它们文体属性的认定上。把史传文学归入叙事体散文是合适的，可是，把诸子散文称为说理文或议论文，就有以偏概全的弊端，无法如实反映诸子文体的多样性和复杂性。如果进行量化处理，诸子散文的叙事文字远远超过议论的部分，而最有文学价值的恰恰是那些叙事文字。《庄子》一书自不必说，就以政论文水平最早的《韩非子》而言，书中有议论体、经传体、说体，其中说体所占比例很大，对后代小说影响也最为深远。有鉴于此，对诸子散文的分类还需要迸一步细化，如同对后代作家的诗、词、赋、文等各类文体分列那样，使得文体的多样性、复杂性充分显示出来。</w:t>
      </w:r>
    </w:p>
    <w:p>
      <w:pPr>
        <w:pStyle w:val="3"/>
        <w:spacing w:before="240" w:after="0" w:line="400" w:lineRule="exact"/>
        <w:contextualSpacing/>
        <w:rPr>
          <w:rFonts w:ascii="Times New Roman" w:cs="Times New Roman"/>
          <w:sz w:val="30"/>
          <w:szCs w:val="30"/>
        </w:rPr>
      </w:pPr>
      <w:r>
        <w:rPr>
          <w:rFonts w:hint="eastAsia" w:ascii="Times New Roman" w:cs="Times New Roman"/>
          <w:sz w:val="30"/>
          <w:szCs w:val="30"/>
        </w:rPr>
        <w:t>六</w:t>
      </w:r>
      <w:r>
        <w:rPr>
          <w:rFonts w:ascii="Times New Roman" w:cs="Times New Roman"/>
          <w:sz w:val="30"/>
          <w:szCs w:val="30"/>
        </w:rPr>
        <w:t>、</w:t>
      </w:r>
      <w:r>
        <w:rPr>
          <w:rFonts w:hint="eastAsia" w:ascii="Times New Roman" w:cs="Times New Roman"/>
          <w:sz w:val="30"/>
          <w:szCs w:val="30"/>
        </w:rPr>
        <w:t>课程教学评价</w:t>
      </w:r>
    </w:p>
    <w:p>
      <w:pPr>
        <w:spacing w:line="380" w:lineRule="exact"/>
        <w:ind w:firstLine="480" w:firstLineChars="200"/>
        <w:rPr>
          <w:sz w:val="24"/>
          <w:szCs w:val="24"/>
        </w:rPr>
      </w:pPr>
      <w:r>
        <w:rPr>
          <w:rFonts w:hint="eastAsia"/>
          <w:sz w:val="24"/>
          <w:szCs w:val="24"/>
        </w:rPr>
        <w:t>本课程的考核内容、要求及各部分的分值比例如下表：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8"/>
        <w:gridCol w:w="504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vAlign w:val="center"/>
          </w:tcPr>
          <w:p>
            <w:pPr>
              <w:spacing w:line="380" w:lineRule="exact"/>
              <w:jc w:val="center"/>
              <w:rPr>
                <w:b/>
                <w:szCs w:val="21"/>
              </w:rPr>
            </w:pPr>
            <w:r>
              <w:rPr>
                <w:rFonts w:hint="eastAsia"/>
                <w:b/>
                <w:szCs w:val="21"/>
              </w:rPr>
              <w:t>考核内容</w:t>
            </w:r>
          </w:p>
        </w:tc>
        <w:tc>
          <w:tcPr>
            <w:tcW w:w="5040" w:type="dxa"/>
            <w:vAlign w:val="center"/>
          </w:tcPr>
          <w:p>
            <w:pPr>
              <w:spacing w:line="380" w:lineRule="exact"/>
              <w:jc w:val="center"/>
              <w:rPr>
                <w:b/>
                <w:szCs w:val="21"/>
              </w:rPr>
            </w:pPr>
            <w:r>
              <w:rPr>
                <w:rFonts w:hint="eastAsia"/>
                <w:b/>
                <w:szCs w:val="21"/>
              </w:rPr>
              <w:t>考核要求</w:t>
            </w:r>
          </w:p>
        </w:tc>
        <w:tc>
          <w:tcPr>
            <w:tcW w:w="1214" w:type="dxa"/>
            <w:vAlign w:val="center"/>
          </w:tcPr>
          <w:p>
            <w:pPr>
              <w:spacing w:line="380" w:lineRule="exact"/>
              <w:jc w:val="center"/>
              <w:rPr>
                <w:b/>
                <w:szCs w:val="21"/>
              </w:rPr>
            </w:pPr>
            <w:r>
              <w:rPr>
                <w:rFonts w:hint="eastAsia"/>
                <w:b/>
                <w:szCs w:val="21"/>
              </w:rPr>
              <w:t>分值比例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8" w:type="dxa"/>
          </w:tcPr>
          <w:p>
            <w:pPr>
              <w:spacing w:line="380" w:lineRule="exact"/>
              <w:rPr>
                <w:szCs w:val="21"/>
              </w:rPr>
            </w:pPr>
            <w:r>
              <w:rPr>
                <w:rFonts w:hint="eastAsia"/>
                <w:szCs w:val="21"/>
              </w:rPr>
              <w:t>课堂发言</w:t>
            </w:r>
          </w:p>
          <w:p>
            <w:pPr>
              <w:spacing w:line="380" w:lineRule="exact"/>
              <w:rPr>
                <w:szCs w:val="21"/>
              </w:rPr>
            </w:pPr>
          </w:p>
          <w:p>
            <w:pPr>
              <w:spacing w:line="380" w:lineRule="exact"/>
              <w:rPr>
                <w:szCs w:val="21"/>
              </w:rPr>
            </w:pPr>
            <w:r>
              <w:rPr>
                <w:rFonts w:hint="eastAsia"/>
                <w:szCs w:val="21"/>
              </w:rPr>
              <w:t>读书报告（《古文辞类纂》）</w:t>
            </w:r>
          </w:p>
          <w:p>
            <w:pPr>
              <w:spacing w:line="380" w:lineRule="exact"/>
              <w:rPr>
                <w:szCs w:val="21"/>
              </w:rPr>
            </w:pPr>
          </w:p>
          <w:p>
            <w:pPr>
              <w:spacing w:line="380" w:lineRule="exact"/>
              <w:rPr>
                <w:szCs w:val="21"/>
              </w:rPr>
            </w:pPr>
            <w:r>
              <w:rPr>
                <w:rFonts w:hint="eastAsia"/>
                <w:szCs w:val="21"/>
              </w:rPr>
              <w:t>期末考核（论文形式）</w:t>
            </w:r>
          </w:p>
        </w:tc>
        <w:tc>
          <w:tcPr>
            <w:tcW w:w="5040" w:type="dxa"/>
          </w:tcPr>
          <w:p>
            <w:pPr>
              <w:spacing w:line="380" w:lineRule="exact"/>
              <w:rPr>
                <w:szCs w:val="21"/>
              </w:rPr>
            </w:pPr>
            <w:r>
              <w:rPr>
                <w:rFonts w:hint="eastAsia"/>
                <w:szCs w:val="21"/>
              </w:rPr>
              <w:t>参与课堂讨论</w:t>
            </w:r>
          </w:p>
          <w:p>
            <w:pPr>
              <w:spacing w:line="380" w:lineRule="exact"/>
              <w:rPr>
                <w:szCs w:val="21"/>
              </w:rPr>
            </w:pPr>
          </w:p>
          <w:p>
            <w:pPr>
              <w:spacing w:line="380" w:lineRule="exact"/>
              <w:rPr>
                <w:szCs w:val="21"/>
              </w:rPr>
            </w:pPr>
            <w:r>
              <w:rPr>
                <w:rFonts w:hint="eastAsia"/>
                <w:szCs w:val="21"/>
              </w:rPr>
              <w:t>文本上交时间：第1</w:t>
            </w:r>
            <w:r>
              <w:rPr>
                <w:szCs w:val="21"/>
              </w:rPr>
              <w:t>2</w:t>
            </w:r>
            <w:r>
              <w:rPr>
                <w:rFonts w:hint="eastAsia"/>
                <w:szCs w:val="21"/>
              </w:rPr>
              <w:t>周。</w:t>
            </w:r>
          </w:p>
          <w:p>
            <w:pPr>
              <w:spacing w:line="380" w:lineRule="exact"/>
              <w:rPr>
                <w:szCs w:val="21"/>
              </w:rPr>
            </w:pPr>
          </w:p>
          <w:p>
            <w:pPr>
              <w:spacing w:line="380" w:lineRule="exact"/>
              <w:rPr>
                <w:szCs w:val="21"/>
              </w:rPr>
            </w:pPr>
            <w:r>
              <w:rPr>
                <w:rFonts w:hint="eastAsia"/>
                <w:szCs w:val="21"/>
              </w:rPr>
              <w:t>文本上交时间：第1</w:t>
            </w:r>
            <w:r>
              <w:rPr>
                <w:szCs w:val="21"/>
              </w:rPr>
              <w:t>8</w:t>
            </w:r>
            <w:r>
              <w:rPr>
                <w:rFonts w:hint="eastAsia"/>
                <w:szCs w:val="21"/>
              </w:rPr>
              <w:t>周。</w:t>
            </w:r>
          </w:p>
        </w:tc>
        <w:tc>
          <w:tcPr>
            <w:tcW w:w="1214" w:type="dxa"/>
            <w:vAlign w:val="center"/>
          </w:tcPr>
          <w:p>
            <w:pPr>
              <w:spacing w:line="380" w:lineRule="exact"/>
              <w:jc w:val="center"/>
              <w:rPr>
                <w:szCs w:val="21"/>
              </w:rPr>
            </w:pPr>
            <w:r>
              <w:rPr>
                <w:szCs w:val="21"/>
              </w:rPr>
              <w:t>10%</w:t>
            </w:r>
          </w:p>
          <w:p>
            <w:pPr>
              <w:spacing w:line="380" w:lineRule="exact"/>
              <w:jc w:val="center"/>
              <w:rPr>
                <w:szCs w:val="21"/>
              </w:rPr>
            </w:pPr>
          </w:p>
          <w:p>
            <w:pPr>
              <w:spacing w:line="380" w:lineRule="exact"/>
              <w:jc w:val="center"/>
              <w:rPr>
                <w:szCs w:val="21"/>
              </w:rPr>
            </w:pPr>
            <w:r>
              <w:rPr>
                <w:szCs w:val="21"/>
              </w:rPr>
              <w:t>30%</w:t>
            </w:r>
          </w:p>
          <w:p>
            <w:pPr>
              <w:spacing w:line="380" w:lineRule="exact"/>
              <w:jc w:val="center"/>
              <w:rPr>
                <w:szCs w:val="21"/>
              </w:rPr>
            </w:pPr>
          </w:p>
          <w:p>
            <w:pPr>
              <w:spacing w:line="380" w:lineRule="exact"/>
              <w:jc w:val="center"/>
              <w:rPr>
                <w:szCs w:val="21"/>
              </w:rPr>
            </w:pPr>
            <w:r>
              <w:rPr>
                <w:szCs w:val="21"/>
              </w:rPr>
              <w:t>60%</w:t>
            </w:r>
          </w:p>
        </w:tc>
      </w:tr>
    </w:tbl>
    <w:p>
      <w:pPr>
        <w:pStyle w:val="3"/>
        <w:spacing w:before="240" w:after="0" w:line="400" w:lineRule="exact"/>
        <w:contextualSpacing/>
        <w:rPr>
          <w:rFonts w:ascii="Times New Roman" w:cs="Times New Roman"/>
          <w:sz w:val="30"/>
          <w:szCs w:val="30"/>
        </w:rPr>
      </w:pPr>
      <w:r>
        <w:rPr>
          <w:rFonts w:hint="eastAsia" w:ascii="Times New Roman" w:cs="Times New Roman"/>
          <w:sz w:val="30"/>
          <w:szCs w:val="30"/>
        </w:rPr>
        <w:t>七、成绩评定方法</w:t>
      </w:r>
    </w:p>
    <w:p>
      <w:pPr>
        <w:spacing w:line="360" w:lineRule="auto"/>
        <w:ind w:firstLine="420"/>
        <w:rPr>
          <w:rFonts w:asciiTheme="minorEastAsia" w:hAnsiTheme="minorEastAsia"/>
          <w:szCs w:val="24"/>
        </w:rPr>
      </w:pPr>
      <w:r>
        <w:rPr>
          <w:rFonts w:hint="eastAsia" w:asciiTheme="minorEastAsia" w:hAnsiTheme="minorEastAsia"/>
          <w:szCs w:val="24"/>
        </w:rPr>
        <w:t>本课程评价以对文章打分为主。</w:t>
      </w:r>
    </w:p>
    <w:p>
      <w:pPr>
        <w:spacing w:line="360" w:lineRule="auto"/>
        <w:ind w:firstLine="420"/>
        <w:rPr>
          <w:rFonts w:asciiTheme="minorEastAsia" w:hAnsiTheme="minorEastAsia"/>
          <w:szCs w:val="24"/>
        </w:rPr>
      </w:pPr>
      <w:r>
        <w:rPr>
          <w:rFonts w:hint="eastAsia" w:asciiTheme="minorEastAsia" w:hAnsiTheme="minorEastAsia"/>
          <w:szCs w:val="24"/>
        </w:rPr>
        <w:t>其中论文选题以切实、新颖为指标占比</w:t>
      </w:r>
      <w:r>
        <w:rPr>
          <w:rFonts w:asciiTheme="minorEastAsia" w:hAnsiTheme="minorEastAsia"/>
          <w:szCs w:val="24"/>
        </w:rPr>
        <w:t>20%</w:t>
      </w:r>
      <w:r>
        <w:rPr>
          <w:rFonts w:hint="eastAsia" w:asciiTheme="minorEastAsia" w:hAnsiTheme="minorEastAsia"/>
          <w:szCs w:val="24"/>
        </w:rPr>
        <w:t>；论文语言以流畅、平实为指标占比</w:t>
      </w:r>
      <w:r>
        <w:rPr>
          <w:rFonts w:asciiTheme="minorEastAsia" w:hAnsiTheme="minorEastAsia"/>
          <w:szCs w:val="24"/>
        </w:rPr>
        <w:t>30%</w:t>
      </w:r>
      <w:r>
        <w:rPr>
          <w:rFonts w:hint="eastAsia" w:asciiTheme="minorEastAsia" w:hAnsiTheme="minorEastAsia"/>
          <w:szCs w:val="24"/>
        </w:rPr>
        <w:t>；</w:t>
      </w:r>
    </w:p>
    <w:p>
      <w:pPr>
        <w:spacing w:line="360" w:lineRule="auto"/>
        <w:rPr>
          <w:rFonts w:asciiTheme="minorEastAsia" w:hAnsiTheme="minorEastAsia"/>
          <w:szCs w:val="24"/>
        </w:rPr>
      </w:pPr>
      <w:r>
        <w:rPr>
          <w:rFonts w:hint="eastAsia" w:asciiTheme="minorEastAsia" w:hAnsiTheme="minorEastAsia"/>
          <w:szCs w:val="24"/>
        </w:rPr>
        <w:t>论文结构以逻辑、合理为指标占比30%；论文格式以完整、规范为指标占比</w:t>
      </w:r>
      <w:r>
        <w:rPr>
          <w:rFonts w:asciiTheme="minorEastAsia" w:hAnsiTheme="minorEastAsia"/>
          <w:szCs w:val="24"/>
        </w:rPr>
        <w:t>20%</w:t>
      </w:r>
      <w:r>
        <w:rPr>
          <w:rFonts w:hint="eastAsia" w:asciiTheme="minorEastAsia" w:hAnsiTheme="minorEastAsia"/>
          <w:szCs w:val="24"/>
        </w:rPr>
        <w:t>。</w:t>
      </w:r>
    </w:p>
    <w:p>
      <w:pPr>
        <w:pStyle w:val="3"/>
        <w:spacing w:before="240" w:after="0" w:line="400" w:lineRule="exact"/>
        <w:contextualSpacing/>
        <w:rPr>
          <w:rFonts w:ascii="Times New Roman" w:cs="Times New Roman"/>
          <w:sz w:val="30"/>
          <w:szCs w:val="30"/>
        </w:rPr>
      </w:pPr>
      <w:r>
        <w:rPr>
          <w:rFonts w:hint="eastAsia" w:ascii="Times New Roman" w:cs="Times New Roman"/>
          <w:sz w:val="30"/>
          <w:szCs w:val="30"/>
        </w:rPr>
        <w:t>八、课程学习资源</w:t>
      </w:r>
    </w:p>
    <w:p>
      <w:pPr>
        <w:spacing w:line="300" w:lineRule="auto"/>
        <w:rPr>
          <w:rFonts w:ascii="宋体" w:hAnsi="宋体" w:eastAsia="宋体"/>
          <w:szCs w:val="21"/>
        </w:rPr>
      </w:pPr>
    </w:p>
    <w:p>
      <w:pPr>
        <w:spacing w:line="400" w:lineRule="exact"/>
        <w:ind w:firstLine="422" w:firstLineChars="200"/>
        <w:rPr>
          <w:rFonts w:asciiTheme="minorEastAsia" w:hAnsiTheme="minorEastAsia"/>
          <w:b/>
          <w:bCs/>
          <w:szCs w:val="21"/>
        </w:rPr>
      </w:pPr>
      <w:r>
        <w:rPr>
          <w:rFonts w:asciiTheme="minorEastAsia" w:hAnsiTheme="minorEastAsia"/>
          <w:b/>
          <w:bCs/>
          <w:szCs w:val="21"/>
        </w:rPr>
        <w:t>1</w:t>
      </w:r>
      <w:r>
        <w:rPr>
          <w:rFonts w:hint="eastAsia" w:asciiTheme="minorEastAsia" w:hAnsiTheme="minorEastAsia"/>
          <w:b/>
          <w:bCs/>
          <w:szCs w:val="21"/>
        </w:rPr>
        <w:t>.主要参考书目</w:t>
      </w:r>
    </w:p>
    <w:p>
      <w:pPr>
        <w:spacing w:line="400" w:lineRule="exact"/>
        <w:ind w:firstLine="420" w:firstLineChars="200"/>
        <w:rPr>
          <w:rFonts w:ascii="宋体" w:hAnsi="宋体" w:eastAsia="宋体"/>
          <w:szCs w:val="21"/>
        </w:rPr>
      </w:pPr>
      <w:r>
        <w:rPr>
          <w:rFonts w:ascii="宋体" w:hAnsi="宋体" w:eastAsia="宋体"/>
          <w:szCs w:val="21"/>
        </w:rPr>
        <w:t>[1]秦秀白：《文体学概论》，湖南教育出版社1986年版。</w:t>
      </w:r>
    </w:p>
    <w:p>
      <w:pPr>
        <w:spacing w:line="400" w:lineRule="exact"/>
        <w:ind w:firstLine="420" w:firstLineChars="200"/>
        <w:rPr>
          <w:rFonts w:ascii="宋体" w:hAnsi="宋体" w:eastAsia="宋体"/>
          <w:szCs w:val="21"/>
        </w:rPr>
      </w:pPr>
      <w:r>
        <w:rPr>
          <w:rFonts w:ascii="宋体" w:hAnsi="宋体" w:eastAsia="宋体"/>
          <w:szCs w:val="21"/>
        </w:rPr>
        <w:t>[2]钱仓水：《文体分类学》，湖南教育出版社1992年版。</w:t>
      </w:r>
    </w:p>
    <w:p>
      <w:pPr>
        <w:spacing w:line="400" w:lineRule="exact"/>
        <w:ind w:firstLine="420" w:firstLineChars="200"/>
        <w:rPr>
          <w:rFonts w:ascii="宋体" w:hAnsi="宋体" w:eastAsia="宋体"/>
          <w:szCs w:val="21"/>
        </w:rPr>
      </w:pPr>
      <w:r>
        <w:rPr>
          <w:rFonts w:ascii="宋体" w:hAnsi="宋体" w:eastAsia="宋体"/>
          <w:szCs w:val="21"/>
        </w:rPr>
        <w:t>[3]褚斌杰：《中国古代文体概论增订本）》，北京大学出版社1990年版。</w:t>
      </w:r>
    </w:p>
    <w:p>
      <w:pPr>
        <w:spacing w:line="400" w:lineRule="exact"/>
        <w:ind w:firstLine="420" w:firstLineChars="200"/>
        <w:rPr>
          <w:rFonts w:ascii="宋体" w:hAnsi="宋体" w:eastAsia="宋体"/>
          <w:szCs w:val="21"/>
        </w:rPr>
      </w:pPr>
      <w:r>
        <w:rPr>
          <w:rFonts w:ascii="宋体" w:hAnsi="宋体" w:eastAsia="宋体"/>
          <w:szCs w:val="21"/>
        </w:rPr>
        <w:t>[4]张毅：《文学文体学概说》，中国人民大学出版社1993年版。</w:t>
      </w:r>
    </w:p>
    <w:p>
      <w:pPr>
        <w:spacing w:line="400" w:lineRule="exact"/>
        <w:ind w:firstLine="420" w:firstLineChars="200"/>
        <w:rPr>
          <w:rFonts w:ascii="宋体" w:hAnsi="宋体" w:eastAsia="宋体"/>
          <w:szCs w:val="21"/>
        </w:rPr>
      </w:pPr>
      <w:r>
        <w:rPr>
          <w:rFonts w:ascii="宋体" w:hAnsi="宋体" w:eastAsia="宋体"/>
          <w:szCs w:val="21"/>
        </w:rPr>
        <w:t>[5]童庆炳：《文体与文体的创造》，云南人民出版社1994年版。</w:t>
      </w:r>
    </w:p>
    <w:p>
      <w:pPr>
        <w:spacing w:line="400" w:lineRule="exact"/>
        <w:ind w:firstLine="420" w:firstLineChars="200"/>
        <w:rPr>
          <w:rFonts w:ascii="宋体" w:hAnsi="宋体" w:eastAsia="宋体"/>
          <w:szCs w:val="21"/>
        </w:rPr>
      </w:pPr>
      <w:r>
        <w:rPr>
          <w:rFonts w:ascii="宋体" w:hAnsi="宋体" w:eastAsia="宋体"/>
          <w:szCs w:val="21"/>
        </w:rPr>
        <w:t>[6]陶东风：《文体演变及其文化意味》，云南人民出版社1994年版。</w:t>
      </w:r>
    </w:p>
    <w:p>
      <w:pPr>
        <w:spacing w:line="400" w:lineRule="exact"/>
        <w:ind w:firstLine="420" w:firstLineChars="200"/>
        <w:rPr>
          <w:rFonts w:ascii="宋体" w:hAnsi="宋体" w:eastAsia="宋体"/>
          <w:szCs w:val="21"/>
        </w:rPr>
      </w:pPr>
      <w:r>
        <w:rPr>
          <w:rFonts w:ascii="宋体" w:hAnsi="宋体" w:eastAsia="宋体"/>
          <w:szCs w:val="21"/>
        </w:rPr>
        <w:t>[7]吴承学：《中国古代文体形态研究》，中山大学出版社2002年版。</w:t>
      </w:r>
    </w:p>
    <w:p>
      <w:pPr>
        <w:spacing w:line="400" w:lineRule="exact"/>
        <w:ind w:firstLine="420" w:firstLineChars="200"/>
        <w:rPr>
          <w:rFonts w:ascii="宋体" w:hAnsi="宋体" w:eastAsia="宋体"/>
          <w:szCs w:val="21"/>
        </w:rPr>
      </w:pPr>
      <w:r>
        <w:rPr>
          <w:rFonts w:ascii="宋体" w:hAnsi="宋体" w:eastAsia="宋体"/>
          <w:szCs w:val="21"/>
        </w:rPr>
        <w:t>[8]郭英德：《中国古代文体学论稿》，北京大学出版社2006年版。</w:t>
      </w:r>
    </w:p>
    <w:p>
      <w:pPr>
        <w:spacing w:line="400" w:lineRule="exact"/>
        <w:ind w:firstLine="422" w:firstLineChars="200"/>
        <w:rPr>
          <w:rFonts w:asciiTheme="minorEastAsia" w:hAnsiTheme="minorEastAsia"/>
          <w:b/>
          <w:bCs/>
          <w:szCs w:val="21"/>
        </w:rPr>
      </w:pPr>
    </w:p>
    <w:p>
      <w:pPr>
        <w:spacing w:line="400" w:lineRule="exact"/>
        <w:ind w:firstLine="422" w:firstLineChars="200"/>
        <w:rPr>
          <w:rFonts w:asciiTheme="minorEastAsia" w:hAnsiTheme="minorEastAsia"/>
          <w:b/>
          <w:bCs/>
          <w:szCs w:val="21"/>
        </w:rPr>
      </w:pPr>
      <w:r>
        <w:rPr>
          <w:rFonts w:asciiTheme="minorEastAsia" w:hAnsiTheme="minorEastAsia"/>
          <w:b/>
          <w:bCs/>
          <w:szCs w:val="21"/>
        </w:rPr>
        <w:t>2</w:t>
      </w:r>
      <w:r>
        <w:rPr>
          <w:rFonts w:hint="eastAsia" w:asciiTheme="minorEastAsia" w:hAnsiTheme="minorEastAsia"/>
          <w:b/>
          <w:bCs/>
          <w:szCs w:val="21"/>
        </w:rPr>
        <w:t>.其他学习资源</w:t>
      </w:r>
    </w:p>
    <w:p>
      <w:pPr>
        <w:ind w:firstLine="420" w:firstLineChars="200"/>
        <w:rPr>
          <w:rFonts w:asciiTheme="minorEastAsia" w:hAnsiTheme="minorEastAsia"/>
          <w:szCs w:val="21"/>
        </w:rPr>
      </w:pPr>
    </w:p>
    <w:p>
      <w:pPr>
        <w:ind w:firstLine="420" w:firstLineChars="200"/>
        <w:rPr>
          <w:rFonts w:asciiTheme="minorEastAsia" w:hAnsiTheme="minorEastAsia"/>
          <w:szCs w:val="21"/>
        </w:rPr>
      </w:pPr>
      <w:r>
        <w:rPr>
          <w:rFonts w:hint="eastAsia" w:asciiTheme="minorEastAsia" w:hAnsiTheme="minorEastAsia"/>
          <w:szCs w:val="21"/>
        </w:rPr>
        <w:t>相关刊物：《文学遗产》《文学评论》《中国文学研究》</w:t>
      </w:r>
    </w:p>
    <w:p>
      <w:pPr>
        <w:pStyle w:val="3"/>
        <w:spacing w:before="240" w:after="0" w:line="400" w:lineRule="exact"/>
        <w:contextualSpacing/>
        <w:rPr>
          <w:rFonts w:ascii="Times New Roman" w:cs="Times New Roman"/>
          <w:sz w:val="30"/>
          <w:szCs w:val="30"/>
        </w:rPr>
      </w:pPr>
      <w:r>
        <w:rPr>
          <w:rFonts w:hint="eastAsia" w:ascii="Times New Roman" w:cs="Times New Roman"/>
          <w:sz w:val="30"/>
          <w:szCs w:val="30"/>
        </w:rPr>
        <w:t>九、课程学习建议</w:t>
      </w:r>
    </w:p>
    <w:p>
      <w:pPr>
        <w:spacing w:line="400" w:lineRule="exact"/>
        <w:ind w:left="420" w:firstLine="480" w:firstLineChars="200"/>
        <w:contextualSpacing/>
        <w:jc w:val="left"/>
        <w:rPr>
          <w:rFonts w:ascii="宋体" w:hAnsi="宋体"/>
          <w:sz w:val="24"/>
        </w:rPr>
      </w:pPr>
    </w:p>
    <w:p>
      <w:pPr>
        <w:spacing w:line="400" w:lineRule="exact"/>
        <w:ind w:left="420" w:firstLine="480" w:firstLineChars="200"/>
        <w:contextualSpacing/>
        <w:jc w:val="left"/>
        <w:rPr>
          <w:rFonts w:ascii="宋体" w:hAnsi="宋体"/>
          <w:sz w:val="24"/>
        </w:rPr>
      </w:pPr>
      <w:r>
        <w:rPr>
          <w:rFonts w:hint="eastAsia" w:ascii="宋体" w:hAnsi="宋体"/>
          <w:sz w:val="24"/>
        </w:rPr>
        <w:t>中国古代文体的生成、演变和发展，多数情况下呈现出历史与逻辑的统一，人们也已经习惯于按照二者相统一的思路去审视古代文体。但是，有时文体的生成、演变和发展所体现的不是历史和逻辑的统一，而是二者的疏离、错位，甚至相悖。这就需要从文体的实际情况出发，作出合乎实际的判断。</w:t>
      </w:r>
    </w:p>
    <w:p>
      <w:pPr>
        <w:spacing w:line="400" w:lineRule="exact"/>
        <w:ind w:left="420" w:firstLine="480" w:firstLineChars="200"/>
        <w:contextualSpacing/>
        <w:jc w:val="left"/>
        <w:rPr>
          <w:rFonts w:ascii="宋体" w:hAnsi="宋体"/>
          <w:sz w:val="24"/>
        </w:rPr>
      </w:pPr>
      <w:r>
        <w:rPr>
          <w:rFonts w:hint="eastAsia" w:ascii="宋体" w:hAnsi="宋体"/>
          <w:sz w:val="24"/>
        </w:rPr>
        <w:t>中国古代诗体演变总的趋势是句型由短到长，先是每句二言、三言、四言，后来发展到五言、七言。就其总体规律而言，体现出历史与逻辑的统一。然而，对某些历史阶段及诗体进行考察，又可以发现其中的许多变数。按照历史发展的逻辑，三言诗的生成早于四言诗，四言诗成为主导诗体之后，三言诗阶段已经过去。可是，西汉时期，三言诗却出现复兴的局面，并且奠定了这种诗体在古代庙堂文学中的地位，后代往往沿用三言体创作歌诗，以郊祀歌居多。再如，从成熟期来看，五言诗早于七言诗，体现出历史与逻辑的统一。可是，继四言诗之后，西汉大量出现的是七言句，除见于诗歌外，还著于镜铭、载于字书和启蒙课本。相反，同时期的五言句并不多见。只是在后来的发展过程中，五言诗后来居上，早于七言诗成熟。五、七言诗早期发展的历程，体现的不是历史与逻辑的统一，而是二者之间一定程度的疏离和错位。类似现象在后来的文体发展中仍然可以见到。事实说明，如果对古代文体的生成、演变、发展全部采用历史与逻辑相统一的模式加以描述，那么，对历史、文体就只具有必然性，没有偶然性，事实上是不可能的，也不符合文学史的实际情况。对古代文体进行历时性梳理，还必须充分注意相关概念、术语在不同时段的具体内涵，找出其中的差异。</w:t>
      </w:r>
    </w:p>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4BEB"/>
    <w:rsid w:val="000036CA"/>
    <w:rsid w:val="0001138E"/>
    <w:rsid w:val="00015EF8"/>
    <w:rsid w:val="0001647C"/>
    <w:rsid w:val="000228BA"/>
    <w:rsid w:val="00030058"/>
    <w:rsid w:val="00031F7C"/>
    <w:rsid w:val="000321EC"/>
    <w:rsid w:val="00034337"/>
    <w:rsid w:val="0003595C"/>
    <w:rsid w:val="00052FF7"/>
    <w:rsid w:val="00056B47"/>
    <w:rsid w:val="0006610B"/>
    <w:rsid w:val="00082401"/>
    <w:rsid w:val="00084BBD"/>
    <w:rsid w:val="000A3341"/>
    <w:rsid w:val="000A5185"/>
    <w:rsid w:val="000B3D8E"/>
    <w:rsid w:val="000B4B05"/>
    <w:rsid w:val="000C5F22"/>
    <w:rsid w:val="000C652C"/>
    <w:rsid w:val="000D264F"/>
    <w:rsid w:val="000D45EC"/>
    <w:rsid w:val="000E2AE4"/>
    <w:rsid w:val="000E63B5"/>
    <w:rsid w:val="000F72E2"/>
    <w:rsid w:val="0010272F"/>
    <w:rsid w:val="00104711"/>
    <w:rsid w:val="00113D05"/>
    <w:rsid w:val="001202B6"/>
    <w:rsid w:val="00121C7E"/>
    <w:rsid w:val="00122AC4"/>
    <w:rsid w:val="00131188"/>
    <w:rsid w:val="001375F5"/>
    <w:rsid w:val="001376E4"/>
    <w:rsid w:val="001417B8"/>
    <w:rsid w:val="00142947"/>
    <w:rsid w:val="001523BD"/>
    <w:rsid w:val="00152567"/>
    <w:rsid w:val="0015563A"/>
    <w:rsid w:val="00156B4E"/>
    <w:rsid w:val="001703D7"/>
    <w:rsid w:val="00172542"/>
    <w:rsid w:val="00173774"/>
    <w:rsid w:val="00177687"/>
    <w:rsid w:val="00197504"/>
    <w:rsid w:val="001A311D"/>
    <w:rsid w:val="001D2DF6"/>
    <w:rsid w:val="001E0520"/>
    <w:rsid w:val="001E3FF8"/>
    <w:rsid w:val="001E5823"/>
    <w:rsid w:val="001F1C3F"/>
    <w:rsid w:val="002012FD"/>
    <w:rsid w:val="00205433"/>
    <w:rsid w:val="002068D6"/>
    <w:rsid w:val="00206A9D"/>
    <w:rsid w:val="002276D8"/>
    <w:rsid w:val="00244E7F"/>
    <w:rsid w:val="0024763C"/>
    <w:rsid w:val="0025700D"/>
    <w:rsid w:val="00261456"/>
    <w:rsid w:val="002656D7"/>
    <w:rsid w:val="00274F4B"/>
    <w:rsid w:val="00286CDD"/>
    <w:rsid w:val="00291941"/>
    <w:rsid w:val="0029365C"/>
    <w:rsid w:val="00295A1D"/>
    <w:rsid w:val="002A1597"/>
    <w:rsid w:val="002B1004"/>
    <w:rsid w:val="002B2B73"/>
    <w:rsid w:val="002B784D"/>
    <w:rsid w:val="002F2EC9"/>
    <w:rsid w:val="00300B6C"/>
    <w:rsid w:val="0030225F"/>
    <w:rsid w:val="00305A4C"/>
    <w:rsid w:val="003077F2"/>
    <w:rsid w:val="00321FE1"/>
    <w:rsid w:val="00352114"/>
    <w:rsid w:val="00352AC0"/>
    <w:rsid w:val="00355641"/>
    <w:rsid w:val="003568CE"/>
    <w:rsid w:val="00357604"/>
    <w:rsid w:val="0035768F"/>
    <w:rsid w:val="00363030"/>
    <w:rsid w:val="003705A3"/>
    <w:rsid w:val="00372259"/>
    <w:rsid w:val="00372A8B"/>
    <w:rsid w:val="003807F3"/>
    <w:rsid w:val="00381E4A"/>
    <w:rsid w:val="003829C7"/>
    <w:rsid w:val="00393908"/>
    <w:rsid w:val="003A0D71"/>
    <w:rsid w:val="003B4189"/>
    <w:rsid w:val="003D582F"/>
    <w:rsid w:val="003D725E"/>
    <w:rsid w:val="003E18C8"/>
    <w:rsid w:val="003E37FD"/>
    <w:rsid w:val="003E591F"/>
    <w:rsid w:val="003E7FA0"/>
    <w:rsid w:val="003F03FA"/>
    <w:rsid w:val="003F1312"/>
    <w:rsid w:val="00410EF0"/>
    <w:rsid w:val="004111BB"/>
    <w:rsid w:val="00411279"/>
    <w:rsid w:val="00420452"/>
    <w:rsid w:val="004206C3"/>
    <w:rsid w:val="00421592"/>
    <w:rsid w:val="0043093C"/>
    <w:rsid w:val="004345E9"/>
    <w:rsid w:val="00441A82"/>
    <w:rsid w:val="00454CFD"/>
    <w:rsid w:val="0046204E"/>
    <w:rsid w:val="00464CEF"/>
    <w:rsid w:val="00470CB7"/>
    <w:rsid w:val="00473B7F"/>
    <w:rsid w:val="00483188"/>
    <w:rsid w:val="004834CE"/>
    <w:rsid w:val="0048405B"/>
    <w:rsid w:val="00490D7E"/>
    <w:rsid w:val="00492C15"/>
    <w:rsid w:val="00497EAA"/>
    <w:rsid w:val="004A1A10"/>
    <w:rsid w:val="004A6462"/>
    <w:rsid w:val="004B179B"/>
    <w:rsid w:val="004B41B4"/>
    <w:rsid w:val="004B4DAB"/>
    <w:rsid w:val="004B529A"/>
    <w:rsid w:val="004C0FB0"/>
    <w:rsid w:val="004C235C"/>
    <w:rsid w:val="004D1D84"/>
    <w:rsid w:val="004D742C"/>
    <w:rsid w:val="004E50A8"/>
    <w:rsid w:val="004F5BA9"/>
    <w:rsid w:val="00501D26"/>
    <w:rsid w:val="00502BE0"/>
    <w:rsid w:val="0050327A"/>
    <w:rsid w:val="00504C9C"/>
    <w:rsid w:val="00506657"/>
    <w:rsid w:val="00507414"/>
    <w:rsid w:val="0050755E"/>
    <w:rsid w:val="00507BA6"/>
    <w:rsid w:val="00511E35"/>
    <w:rsid w:val="00512DA6"/>
    <w:rsid w:val="0051564C"/>
    <w:rsid w:val="00526321"/>
    <w:rsid w:val="005274DA"/>
    <w:rsid w:val="0054724A"/>
    <w:rsid w:val="00555BD4"/>
    <w:rsid w:val="005579A7"/>
    <w:rsid w:val="00567BF6"/>
    <w:rsid w:val="00576766"/>
    <w:rsid w:val="00577BB9"/>
    <w:rsid w:val="00586941"/>
    <w:rsid w:val="00591421"/>
    <w:rsid w:val="005A0F66"/>
    <w:rsid w:val="005A3114"/>
    <w:rsid w:val="005A484E"/>
    <w:rsid w:val="005A54EF"/>
    <w:rsid w:val="005A6901"/>
    <w:rsid w:val="005B4ACB"/>
    <w:rsid w:val="005B6F53"/>
    <w:rsid w:val="005C329D"/>
    <w:rsid w:val="005D15EC"/>
    <w:rsid w:val="005D1CC7"/>
    <w:rsid w:val="005D3A38"/>
    <w:rsid w:val="005D3C95"/>
    <w:rsid w:val="005E2C89"/>
    <w:rsid w:val="005F13C6"/>
    <w:rsid w:val="005F3EFF"/>
    <w:rsid w:val="00602B43"/>
    <w:rsid w:val="00605BDF"/>
    <w:rsid w:val="00611D51"/>
    <w:rsid w:val="00624F03"/>
    <w:rsid w:val="00625F7F"/>
    <w:rsid w:val="006260DB"/>
    <w:rsid w:val="0063227F"/>
    <w:rsid w:val="0065248E"/>
    <w:rsid w:val="00654499"/>
    <w:rsid w:val="00657B19"/>
    <w:rsid w:val="006643BA"/>
    <w:rsid w:val="00690AE4"/>
    <w:rsid w:val="006A141D"/>
    <w:rsid w:val="006A3C28"/>
    <w:rsid w:val="006A6E5F"/>
    <w:rsid w:val="006A7562"/>
    <w:rsid w:val="006B219C"/>
    <w:rsid w:val="006D3604"/>
    <w:rsid w:val="006E59E5"/>
    <w:rsid w:val="006F0D2F"/>
    <w:rsid w:val="0070436E"/>
    <w:rsid w:val="00710F34"/>
    <w:rsid w:val="007230B8"/>
    <w:rsid w:val="00723A9E"/>
    <w:rsid w:val="00732FD5"/>
    <w:rsid w:val="00734BF7"/>
    <w:rsid w:val="00735BB1"/>
    <w:rsid w:val="00743854"/>
    <w:rsid w:val="00743FA9"/>
    <w:rsid w:val="00751195"/>
    <w:rsid w:val="00752890"/>
    <w:rsid w:val="007602B1"/>
    <w:rsid w:val="00764307"/>
    <w:rsid w:val="00766903"/>
    <w:rsid w:val="00770D30"/>
    <w:rsid w:val="00776E0E"/>
    <w:rsid w:val="00776EE8"/>
    <w:rsid w:val="007923BD"/>
    <w:rsid w:val="00794977"/>
    <w:rsid w:val="007A0059"/>
    <w:rsid w:val="007B495A"/>
    <w:rsid w:val="007B69A6"/>
    <w:rsid w:val="007B73D8"/>
    <w:rsid w:val="007B7EAA"/>
    <w:rsid w:val="007C5FD2"/>
    <w:rsid w:val="007D0F9F"/>
    <w:rsid w:val="007D42D5"/>
    <w:rsid w:val="007E0859"/>
    <w:rsid w:val="007E3D81"/>
    <w:rsid w:val="007E4930"/>
    <w:rsid w:val="007E6F1B"/>
    <w:rsid w:val="007F3B51"/>
    <w:rsid w:val="007F4F55"/>
    <w:rsid w:val="00802362"/>
    <w:rsid w:val="00802F0F"/>
    <w:rsid w:val="00803687"/>
    <w:rsid w:val="00815FC5"/>
    <w:rsid w:val="008215C9"/>
    <w:rsid w:val="00824CDA"/>
    <w:rsid w:val="0083274B"/>
    <w:rsid w:val="008337DD"/>
    <w:rsid w:val="00836473"/>
    <w:rsid w:val="00836880"/>
    <w:rsid w:val="00840D16"/>
    <w:rsid w:val="00845C3C"/>
    <w:rsid w:val="0085431D"/>
    <w:rsid w:val="00855454"/>
    <w:rsid w:val="00860E13"/>
    <w:rsid w:val="00862668"/>
    <w:rsid w:val="008637CD"/>
    <w:rsid w:val="0088197C"/>
    <w:rsid w:val="0088468C"/>
    <w:rsid w:val="008906BD"/>
    <w:rsid w:val="00891E24"/>
    <w:rsid w:val="008925E1"/>
    <w:rsid w:val="008A0E39"/>
    <w:rsid w:val="008A4A6D"/>
    <w:rsid w:val="008B0C54"/>
    <w:rsid w:val="008C5A22"/>
    <w:rsid w:val="008E3324"/>
    <w:rsid w:val="008E7584"/>
    <w:rsid w:val="008F0C3D"/>
    <w:rsid w:val="008F4E6F"/>
    <w:rsid w:val="008F7073"/>
    <w:rsid w:val="00904F56"/>
    <w:rsid w:val="00912A3B"/>
    <w:rsid w:val="00916C99"/>
    <w:rsid w:val="009275AD"/>
    <w:rsid w:val="0095653C"/>
    <w:rsid w:val="00956CC9"/>
    <w:rsid w:val="009675DE"/>
    <w:rsid w:val="00967CC7"/>
    <w:rsid w:val="00972622"/>
    <w:rsid w:val="00974A45"/>
    <w:rsid w:val="00985567"/>
    <w:rsid w:val="00994DE0"/>
    <w:rsid w:val="0099524C"/>
    <w:rsid w:val="00997A0E"/>
    <w:rsid w:val="009C57E4"/>
    <w:rsid w:val="009D1F67"/>
    <w:rsid w:val="009D3D41"/>
    <w:rsid w:val="009D683D"/>
    <w:rsid w:val="009F0B47"/>
    <w:rsid w:val="009F2E45"/>
    <w:rsid w:val="009F6592"/>
    <w:rsid w:val="00A04287"/>
    <w:rsid w:val="00A139AA"/>
    <w:rsid w:val="00A23561"/>
    <w:rsid w:val="00A334A3"/>
    <w:rsid w:val="00A36DA1"/>
    <w:rsid w:val="00A41D5B"/>
    <w:rsid w:val="00A434F3"/>
    <w:rsid w:val="00A45B8C"/>
    <w:rsid w:val="00A52D78"/>
    <w:rsid w:val="00A604D3"/>
    <w:rsid w:val="00A72BA7"/>
    <w:rsid w:val="00A7708B"/>
    <w:rsid w:val="00A825AD"/>
    <w:rsid w:val="00A85EC0"/>
    <w:rsid w:val="00A8686D"/>
    <w:rsid w:val="00A95E5D"/>
    <w:rsid w:val="00A9638F"/>
    <w:rsid w:val="00AA39EF"/>
    <w:rsid w:val="00AA7C3B"/>
    <w:rsid w:val="00AD4588"/>
    <w:rsid w:val="00AD5EEB"/>
    <w:rsid w:val="00AE3DCE"/>
    <w:rsid w:val="00AE605F"/>
    <w:rsid w:val="00AE73C8"/>
    <w:rsid w:val="00AF2385"/>
    <w:rsid w:val="00AF6645"/>
    <w:rsid w:val="00B00068"/>
    <w:rsid w:val="00B0448B"/>
    <w:rsid w:val="00B06273"/>
    <w:rsid w:val="00B132F1"/>
    <w:rsid w:val="00B14B7C"/>
    <w:rsid w:val="00B21CB8"/>
    <w:rsid w:val="00B350DD"/>
    <w:rsid w:val="00B6150F"/>
    <w:rsid w:val="00B6209D"/>
    <w:rsid w:val="00B73276"/>
    <w:rsid w:val="00B75352"/>
    <w:rsid w:val="00B7689D"/>
    <w:rsid w:val="00B95867"/>
    <w:rsid w:val="00BB1476"/>
    <w:rsid w:val="00BD072A"/>
    <w:rsid w:val="00BD368E"/>
    <w:rsid w:val="00BD387C"/>
    <w:rsid w:val="00BE01A5"/>
    <w:rsid w:val="00BE0D62"/>
    <w:rsid w:val="00BE37C7"/>
    <w:rsid w:val="00BE5722"/>
    <w:rsid w:val="00C0678C"/>
    <w:rsid w:val="00C0724E"/>
    <w:rsid w:val="00C13553"/>
    <w:rsid w:val="00C15947"/>
    <w:rsid w:val="00C20568"/>
    <w:rsid w:val="00C271D1"/>
    <w:rsid w:val="00C51556"/>
    <w:rsid w:val="00C52158"/>
    <w:rsid w:val="00C52911"/>
    <w:rsid w:val="00C53A5D"/>
    <w:rsid w:val="00C5793F"/>
    <w:rsid w:val="00C6156A"/>
    <w:rsid w:val="00C7140B"/>
    <w:rsid w:val="00C76343"/>
    <w:rsid w:val="00C80381"/>
    <w:rsid w:val="00C9228B"/>
    <w:rsid w:val="00CA174C"/>
    <w:rsid w:val="00CB0722"/>
    <w:rsid w:val="00CC3457"/>
    <w:rsid w:val="00CC40E4"/>
    <w:rsid w:val="00CD1EFB"/>
    <w:rsid w:val="00CD685B"/>
    <w:rsid w:val="00CE08CB"/>
    <w:rsid w:val="00CE616E"/>
    <w:rsid w:val="00CF709C"/>
    <w:rsid w:val="00CF7422"/>
    <w:rsid w:val="00D02FF6"/>
    <w:rsid w:val="00D06F82"/>
    <w:rsid w:val="00D1628C"/>
    <w:rsid w:val="00D17BC8"/>
    <w:rsid w:val="00D231CC"/>
    <w:rsid w:val="00D259B0"/>
    <w:rsid w:val="00D271E4"/>
    <w:rsid w:val="00D36863"/>
    <w:rsid w:val="00D454EF"/>
    <w:rsid w:val="00D56059"/>
    <w:rsid w:val="00D7506D"/>
    <w:rsid w:val="00D77108"/>
    <w:rsid w:val="00D7761F"/>
    <w:rsid w:val="00D83429"/>
    <w:rsid w:val="00DA4A1E"/>
    <w:rsid w:val="00DA4C55"/>
    <w:rsid w:val="00DA6322"/>
    <w:rsid w:val="00DB2529"/>
    <w:rsid w:val="00DB6E5C"/>
    <w:rsid w:val="00DB764A"/>
    <w:rsid w:val="00DD126B"/>
    <w:rsid w:val="00DD2ABE"/>
    <w:rsid w:val="00DD4717"/>
    <w:rsid w:val="00DF3E1C"/>
    <w:rsid w:val="00DF71B1"/>
    <w:rsid w:val="00E05E35"/>
    <w:rsid w:val="00E104A4"/>
    <w:rsid w:val="00E10CE6"/>
    <w:rsid w:val="00E11753"/>
    <w:rsid w:val="00E16868"/>
    <w:rsid w:val="00E25DC8"/>
    <w:rsid w:val="00E325B6"/>
    <w:rsid w:val="00E34F61"/>
    <w:rsid w:val="00E35590"/>
    <w:rsid w:val="00E57143"/>
    <w:rsid w:val="00E8255B"/>
    <w:rsid w:val="00E85EE9"/>
    <w:rsid w:val="00E86AE7"/>
    <w:rsid w:val="00E90224"/>
    <w:rsid w:val="00E94BEB"/>
    <w:rsid w:val="00EC1724"/>
    <w:rsid w:val="00ED2BED"/>
    <w:rsid w:val="00EE32DD"/>
    <w:rsid w:val="00EE3B50"/>
    <w:rsid w:val="00EE40F1"/>
    <w:rsid w:val="00EF3239"/>
    <w:rsid w:val="00EF6C3D"/>
    <w:rsid w:val="00F06648"/>
    <w:rsid w:val="00F2084E"/>
    <w:rsid w:val="00F26897"/>
    <w:rsid w:val="00F324CF"/>
    <w:rsid w:val="00F34949"/>
    <w:rsid w:val="00F36DF8"/>
    <w:rsid w:val="00F43B92"/>
    <w:rsid w:val="00F67FE1"/>
    <w:rsid w:val="00F718A3"/>
    <w:rsid w:val="00F833A8"/>
    <w:rsid w:val="00F862AE"/>
    <w:rsid w:val="00F94814"/>
    <w:rsid w:val="00FB1B0B"/>
    <w:rsid w:val="00FB4B79"/>
    <w:rsid w:val="00FC11B6"/>
    <w:rsid w:val="00FD25C3"/>
    <w:rsid w:val="00FD600F"/>
    <w:rsid w:val="00FE6F67"/>
    <w:rsid w:val="00FE79F1"/>
    <w:rsid w:val="00FF2B64"/>
    <w:rsid w:val="00FF7017"/>
    <w:rsid w:val="721C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Plain Text"/>
    <w:basedOn w:val="1"/>
    <w:link w:val="25"/>
    <w:semiHidden/>
    <w:unhideWhenUsed/>
    <w:qFormat/>
    <w:uiPriority w:val="99"/>
    <w:rPr>
      <w:rFonts w:hAnsi="Courier New" w:cs="Courier New" w:asciiTheme="minorEastAsia"/>
    </w:rPr>
  </w:style>
  <w:style w:type="paragraph" w:styleId="6">
    <w:name w:val="Balloon Text"/>
    <w:basedOn w:val="1"/>
    <w:link w:val="21"/>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3"/>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Hyperlink"/>
    <w:basedOn w:val="12"/>
    <w:unhideWhenUsed/>
    <w:qFormat/>
    <w:uiPriority w:val="99"/>
    <w:rPr>
      <w:color w:val="0563C1" w:themeColor="hyperlink"/>
      <w:u w:val="single"/>
    </w:rPr>
  </w:style>
  <w:style w:type="character" w:styleId="15">
    <w:name w:val="annotation reference"/>
    <w:basedOn w:val="12"/>
    <w:semiHidden/>
    <w:unhideWhenUsed/>
    <w:qFormat/>
    <w:uiPriority w:val="99"/>
    <w:rPr>
      <w:sz w:val="21"/>
      <w:szCs w:val="21"/>
    </w:rPr>
  </w:style>
  <w:style w:type="paragraph" w:styleId="16">
    <w:name w:val="List Paragraph"/>
    <w:basedOn w:val="1"/>
    <w:qFormat/>
    <w:uiPriority w:val="34"/>
    <w:pPr>
      <w:ind w:firstLine="420" w:firstLineChars="200"/>
    </w:pPr>
  </w:style>
  <w:style w:type="character" w:customStyle="1" w:styleId="17">
    <w:name w:val="标题 1 字符"/>
    <w:basedOn w:val="12"/>
    <w:link w:val="2"/>
    <w:qFormat/>
    <w:uiPriority w:val="9"/>
    <w:rPr>
      <w:b/>
      <w:bCs/>
      <w:kern w:val="44"/>
      <w:sz w:val="44"/>
      <w:szCs w:val="44"/>
    </w:rPr>
  </w:style>
  <w:style w:type="character" w:customStyle="1" w:styleId="18">
    <w:name w:val="标题 2 字符"/>
    <w:basedOn w:val="12"/>
    <w:link w:val="3"/>
    <w:qFormat/>
    <w:uiPriority w:val="9"/>
    <w:rPr>
      <w:rFonts w:asciiTheme="majorHAnsi" w:hAnsiTheme="majorHAnsi" w:eastAsiaTheme="majorEastAsia" w:cstheme="majorBidi"/>
      <w:b/>
      <w:bCs/>
      <w:sz w:val="32"/>
      <w:szCs w:val="32"/>
    </w:rPr>
  </w:style>
  <w:style w:type="character" w:customStyle="1" w:styleId="19">
    <w:name w:val="页眉 字符"/>
    <w:basedOn w:val="12"/>
    <w:link w:val="8"/>
    <w:qFormat/>
    <w:uiPriority w:val="99"/>
    <w:rPr>
      <w:sz w:val="18"/>
      <w:szCs w:val="18"/>
    </w:rPr>
  </w:style>
  <w:style w:type="character" w:customStyle="1" w:styleId="20">
    <w:name w:val="页脚 字符"/>
    <w:basedOn w:val="12"/>
    <w:link w:val="7"/>
    <w:qFormat/>
    <w:uiPriority w:val="99"/>
    <w:rPr>
      <w:sz w:val="18"/>
      <w:szCs w:val="18"/>
    </w:rPr>
  </w:style>
  <w:style w:type="character" w:customStyle="1" w:styleId="21">
    <w:name w:val="批注框文本 字符"/>
    <w:basedOn w:val="12"/>
    <w:link w:val="6"/>
    <w:semiHidden/>
    <w:qFormat/>
    <w:uiPriority w:val="99"/>
    <w:rPr>
      <w:sz w:val="18"/>
      <w:szCs w:val="18"/>
    </w:rPr>
  </w:style>
  <w:style w:type="character" w:customStyle="1" w:styleId="22">
    <w:name w:val="批注文字 字符"/>
    <w:basedOn w:val="12"/>
    <w:link w:val="4"/>
    <w:semiHidden/>
    <w:qFormat/>
    <w:uiPriority w:val="99"/>
  </w:style>
  <w:style w:type="character" w:customStyle="1" w:styleId="23">
    <w:name w:val="批注主题 字符"/>
    <w:basedOn w:val="22"/>
    <w:link w:val="9"/>
    <w:semiHidden/>
    <w:qFormat/>
    <w:uiPriority w:val="99"/>
    <w:rPr>
      <w:b/>
      <w:bCs/>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纯文本 字符"/>
    <w:basedOn w:val="12"/>
    <w:link w:val="5"/>
    <w:semiHidden/>
    <w:qFormat/>
    <w:uiPriority w:val="99"/>
    <w:rPr>
      <w:rFonts w:hAnsi="Courier New" w:cs="Courier New" w:asciiTheme="minor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A0758-7AED-46B0-ADFE-8D3178AB2A4B}">
  <ds:schemaRefs/>
</ds:datastoreItem>
</file>

<file path=docProps/app.xml><?xml version="1.0" encoding="utf-8"?>
<Properties xmlns="http://schemas.openxmlformats.org/officeDocument/2006/extended-properties" xmlns:vt="http://schemas.openxmlformats.org/officeDocument/2006/docPropsVTypes">
  <Template>Normal</Template>
  <Pages>6</Pages>
  <Words>935</Words>
  <Characters>5330</Characters>
  <Lines>44</Lines>
  <Paragraphs>12</Paragraphs>
  <TotalTime>1130</TotalTime>
  <ScaleCrop>false</ScaleCrop>
  <LinksUpToDate>false</LinksUpToDate>
  <CharactersWithSpaces>6253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2019-02-26T15:51:00Z</dcterms:created>
  <dc:creator>Jianling Hu</dc:creator>
  <cp:lastModifiedBy>Administrator</cp:lastModifiedBy>
  <cp:lastPrinted>2018-09-08T17:47:00Z</cp:lastPrinted>
  <dcterms:modified xsi:type="dcterms:W3CDTF">2021-03-25T06:02:06Z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