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w:t>
      </w:r>
      <w:r>
        <w:rPr>
          <w:rFonts w:hint="eastAsia" w:ascii="黑体" w:hAnsi="黑体" w:eastAsia="黑体"/>
          <w:sz w:val="32"/>
          <w:szCs w:val="32"/>
          <w:lang w:val="en-US" w:eastAsia="zh-CN"/>
        </w:rPr>
        <w:t>文书学</w:t>
      </w:r>
      <w:r>
        <w:rPr>
          <w:rFonts w:hint="eastAsia" w:ascii="黑体" w:hAnsi="黑体" w:eastAsia="黑体"/>
          <w:sz w:val="32"/>
          <w:szCs w:val="32"/>
        </w:rPr>
        <w:t>》课程教学大纲</w:t>
      </w:r>
    </w:p>
    <w:p>
      <w:pPr>
        <w:pStyle w:val="2"/>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 xml:space="preserve">Document </w:t>
            </w:r>
            <w:r>
              <w:rPr>
                <w:rFonts w:hint="eastAsia" w:ascii="宋体" w:hAnsi="宋体" w:eastAsia="宋体"/>
                <w:lang w:val="en-US" w:eastAsia="zh-CN"/>
              </w:rPr>
              <w:t>S</w:t>
            </w:r>
            <w:r>
              <w:rPr>
                <w:rFonts w:hint="eastAsia" w:ascii="宋体" w:hAnsi="宋体" w:eastAsia="宋体"/>
              </w:rPr>
              <w:t>cience</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课程代码</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SESC2013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专业教学课程</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授课对象</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文秘班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hint="eastAsia" w:ascii="宋体" w:hAnsi="宋体" w:eastAsia="宋体"/>
                <w:lang w:val="en-US" w:eastAsia="zh-CN"/>
              </w:rPr>
            </w:pPr>
            <w:r>
              <w:rPr>
                <w:rFonts w:hint="eastAsia" w:ascii="宋体" w:hAnsi="宋体" w:eastAsia="宋体"/>
                <w:lang w:val="en-US" w:eastAsia="zh-CN"/>
              </w:rPr>
              <w:t>2</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时</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hint="eastAsia" w:ascii="宋体" w:hAnsi="宋体" w:eastAsia="宋体"/>
                <w:lang w:val="en-US" w:eastAsia="zh-CN"/>
              </w:rPr>
            </w:pPr>
            <w:r>
              <w:rPr>
                <w:rFonts w:hint="eastAsia" w:ascii="宋体" w:hAnsi="宋体" w:eastAsia="宋体"/>
                <w:lang w:val="en-US" w:eastAsia="zh-CN"/>
              </w:rPr>
              <w:t>李晨</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修订日期</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2021年3月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hint="eastAsia" w:ascii="宋体" w:hAnsi="宋体" w:eastAsia="宋体"/>
                <w:lang w:val="en-US" w:eastAsia="zh-CN"/>
              </w:rPr>
            </w:pPr>
            <w:r>
              <w:rPr>
                <w:rFonts w:hint="eastAsia" w:ascii="宋体" w:hAnsi="宋体" w:eastAsia="宋体"/>
                <w:lang w:val="en-US" w:eastAsia="zh-CN"/>
              </w:rPr>
              <w:t>无</w:t>
            </w:r>
          </w:p>
        </w:tc>
      </w:tr>
    </w:tbl>
    <w:p>
      <w:pPr>
        <w:pStyle w:val="2"/>
        <w:spacing w:before="156" w:beforeLines="50" w:after="156" w:afterLines="50"/>
        <w:ind w:firstLine="562" w:firstLineChars="200"/>
        <w:rPr>
          <w:rFonts w:hAnsi="宋体" w:cs="宋体"/>
        </w:rPr>
      </w:pPr>
      <w:r>
        <w:rPr>
          <w:rFonts w:hint="eastAsia" w:ascii="黑体" w:hAnsi="黑体" w:eastAsia="黑体" w:cs="宋体"/>
          <w:b/>
          <w:sz w:val="28"/>
          <w:szCs w:val="28"/>
        </w:rPr>
        <w:t>二、课程目标</w:t>
      </w:r>
    </w:p>
    <w:p>
      <w:pPr>
        <w:keepNext w:val="0"/>
        <w:keepLines w:val="0"/>
        <w:pageBreakBefore w:val="0"/>
        <w:widowControl w:val="0"/>
        <w:kinsoku/>
        <w:wordWrap/>
        <w:overflowPunct/>
        <w:topLinePunct w:val="0"/>
        <w:autoSpaceDE w:val="0"/>
        <w:autoSpaceDN w:val="0"/>
        <w:bidi w:val="0"/>
        <w:adjustRightInd w:val="0"/>
        <w:snapToGrid/>
        <w:ind w:firstLine="420" w:firstLineChars="200"/>
        <w:jc w:val="left"/>
        <w:textAlignment w:val="auto"/>
        <w:rPr>
          <w:rFonts w:ascii="宋体" w:hAnsi="Tms Rmn" w:eastAsia="宋体" w:cs="Times New Roman"/>
          <w:kern w:val="0"/>
          <w:sz w:val="21"/>
          <w:szCs w:val="21"/>
        </w:rPr>
      </w:pPr>
      <w:r>
        <w:rPr>
          <w:rFonts w:hint="eastAsia" w:ascii="宋体" w:hAnsi="Tms Rmn" w:eastAsia="宋体" w:cs="Times New Roman"/>
          <w:kern w:val="0"/>
          <w:sz w:val="21"/>
          <w:szCs w:val="21"/>
        </w:rPr>
        <w:t>通过本课学习，能比较熟练地掌握文书学基础理论和文书、文书工作的基础知识。正确阐述和辩析基础理论问题。了解、掌握文书写作、办理、立卷的系统程序和各方面要求。具备一定实际操作能力和分析、解决实际工作中具体问题的能力。为进一步学习其它专业课程奠定基础。</w:t>
      </w:r>
    </w:p>
    <w:p>
      <w:pPr>
        <w:spacing w:before="156" w:beforeLines="50" w:after="156" w:afterLines="50"/>
        <w:ind w:firstLine="562" w:firstLineChars="200"/>
        <w:rPr>
          <w:rFonts w:ascii="黑体" w:hAnsi="黑体" w:eastAsia="黑体"/>
          <w:b/>
          <w:sz w:val="28"/>
          <w:szCs w:val="28"/>
        </w:rPr>
      </w:pPr>
      <w:r>
        <w:rPr>
          <w:rFonts w:hint="eastAsia" w:ascii="黑体" w:hAnsi="黑体" w:eastAsia="黑体"/>
          <w:b/>
          <w:sz w:val="28"/>
          <w:szCs w:val="28"/>
        </w:rPr>
        <w:t>三、教学内容</w:t>
      </w:r>
    </w:p>
    <w:p>
      <w:pPr>
        <w:autoSpaceDE w:val="0"/>
        <w:autoSpaceDN w:val="0"/>
        <w:adjustRightInd w:val="0"/>
        <w:ind w:leftChars="400"/>
        <w:jc w:val="left"/>
        <w:rPr>
          <w:rFonts w:ascii="黑体" w:hAnsi="黑体" w:eastAsia="黑体" w:cs="Times New Roman"/>
          <w:kern w:val="0"/>
          <w:sz w:val="21"/>
          <w:szCs w:val="21"/>
        </w:rPr>
      </w:pPr>
      <w:r>
        <w:rPr>
          <w:rFonts w:hint="eastAsia" w:ascii="黑体" w:hAnsi="黑体" w:eastAsia="黑体" w:cs="Times New Roman"/>
          <w:kern w:val="0"/>
          <w:sz w:val="21"/>
          <w:szCs w:val="21"/>
        </w:rPr>
        <w:t>第一章 文书与公文</w:t>
      </w:r>
    </w:p>
    <w:p>
      <w:pPr>
        <w:autoSpaceDE w:val="0"/>
        <w:autoSpaceDN w:val="0"/>
        <w:adjustRightInd w:val="0"/>
        <w:ind w:leftChars="400"/>
        <w:jc w:val="left"/>
        <w:rPr>
          <w:rFonts w:ascii="宋体" w:hAnsi="Tms Rmn" w:eastAsia="宋体" w:cs="Times New Roman"/>
          <w:kern w:val="0"/>
          <w:sz w:val="21"/>
          <w:szCs w:val="21"/>
        </w:rPr>
      </w:pPr>
      <w:r>
        <w:rPr>
          <w:rFonts w:hint="eastAsia" w:ascii="宋体" w:hAnsi="Tms Rmn" w:eastAsia="宋体" w:cs="Times New Roman"/>
          <w:kern w:val="0"/>
          <w:sz w:val="21"/>
          <w:szCs w:val="21"/>
        </w:rPr>
        <w:t>1、教学内容</w:t>
      </w:r>
    </w:p>
    <w:p>
      <w:pPr>
        <w:autoSpaceDE w:val="0"/>
        <w:autoSpaceDN w:val="0"/>
        <w:adjustRightInd w:val="0"/>
        <w:ind w:leftChars="400"/>
        <w:jc w:val="left"/>
        <w:rPr>
          <w:rFonts w:ascii="宋体" w:hAnsi="Tms Rmn" w:eastAsia="宋体" w:cs="Times New Roman"/>
          <w:kern w:val="0"/>
          <w:sz w:val="21"/>
          <w:szCs w:val="21"/>
        </w:rPr>
      </w:pPr>
      <w:r>
        <w:rPr>
          <w:rFonts w:hint="eastAsia" w:ascii="宋体" w:hAnsi="Tms Rmn" w:eastAsia="宋体" w:cs="Times New Roman"/>
          <w:kern w:val="0"/>
          <w:sz w:val="21"/>
          <w:szCs w:val="21"/>
        </w:rPr>
        <w:t>文书：是人们在社会实践活动中，为了凭证、记载、公布、传递的需要，在一定载体材料上表达思想意图的一种信息记录，包括公务文书和私人文书。公务文书：是机关、团体、企事业单位在处理公务活动中，按照规范的体式形成与使用的，具有法定效用的各种信息记录，简称公文。文件是档案的前身，档案是文件的变体，是经过系统化整理的文件集合体；文件是档案的来源之一，档案是文件的主要归宿。</w:t>
      </w:r>
    </w:p>
    <w:p>
      <w:pPr>
        <w:autoSpaceDE w:val="0"/>
        <w:autoSpaceDN w:val="0"/>
        <w:adjustRightInd w:val="0"/>
        <w:ind w:leftChars="400"/>
        <w:jc w:val="left"/>
        <w:rPr>
          <w:rFonts w:ascii="宋体" w:hAnsi="Tms Rmn" w:eastAsia="宋体" w:cs="Times New Roman"/>
          <w:kern w:val="0"/>
          <w:sz w:val="21"/>
          <w:szCs w:val="21"/>
        </w:rPr>
      </w:pPr>
      <w:r>
        <w:rPr>
          <w:rFonts w:hint="eastAsia" w:ascii="宋体" w:hAnsi="Tms Rmn" w:eastAsia="宋体" w:cs="Times New Roman"/>
          <w:kern w:val="0"/>
          <w:sz w:val="21"/>
          <w:szCs w:val="21"/>
        </w:rPr>
        <w:t>2、教学要点</w:t>
      </w:r>
    </w:p>
    <w:p>
      <w:pPr>
        <w:autoSpaceDE w:val="0"/>
        <w:autoSpaceDN w:val="0"/>
        <w:adjustRightInd w:val="0"/>
        <w:ind w:leftChars="400"/>
        <w:jc w:val="left"/>
        <w:rPr>
          <w:rFonts w:ascii="宋体" w:hAnsi="Tms Rmn" w:eastAsia="宋体" w:cs="Times New Roman"/>
          <w:kern w:val="0"/>
          <w:sz w:val="21"/>
          <w:szCs w:val="21"/>
        </w:rPr>
      </w:pPr>
      <w:r>
        <w:rPr>
          <w:rFonts w:hint="eastAsia" w:ascii="宋体" w:hAnsi="Tms Rmn" w:eastAsia="宋体" w:cs="Times New Roman"/>
          <w:kern w:val="0"/>
          <w:sz w:val="21"/>
          <w:szCs w:val="21"/>
        </w:rPr>
        <w:t>文件的特点：一、文件是由法定的作者制成和发布的；二、文件有法定的权威和效用；三、文件有规范的体式，并需经过一定的处理程序。文件的作用，概括地说就是管理政务的工具和手段。具体包括以下几方面：一、上传下达作用；二、公务联系作用；三、凭证记载作用。文件的分类：一、从文件的来源上划分，可以将一个机关的文件分为收来文件和本机关制成文件；二、从行文关系和方向上划分，可以将文件分为上行文、平行文、下行文；行文关系是指机关之间文件往来所构成的关系。它是根据机关的组织系统、机关职权范围和机关之间不同的工作关系确定的，机关之间文件的授受关系；三、从文件涉及的机密程度上划分，可以将文件分为绝密文件、机密文件、秘密文件、内部文件、公布文件；四、从文件的作用上划分，可以将文件分为法规文件、行政文件、党的文件；五、从文件的使用范围上划分，可以将文件分为通用文件、事务文件、专用文件。</w:t>
      </w:r>
    </w:p>
    <w:p>
      <w:pPr>
        <w:autoSpaceDE w:val="0"/>
        <w:autoSpaceDN w:val="0"/>
        <w:adjustRightInd w:val="0"/>
        <w:ind w:leftChars="400"/>
        <w:jc w:val="left"/>
        <w:rPr>
          <w:rFonts w:ascii="黑体" w:hAnsi="黑体" w:eastAsia="黑体" w:cs="Times New Roman"/>
          <w:kern w:val="0"/>
          <w:sz w:val="21"/>
          <w:szCs w:val="21"/>
        </w:rPr>
      </w:pPr>
      <w:r>
        <w:rPr>
          <w:rFonts w:hint="eastAsia" w:ascii="黑体" w:hAnsi="黑体" w:eastAsia="黑体" w:cs="Times New Roman"/>
          <w:kern w:val="0"/>
          <w:sz w:val="21"/>
          <w:szCs w:val="21"/>
        </w:rPr>
        <w:t>第二章 公文史</w:t>
      </w:r>
    </w:p>
    <w:p>
      <w:pPr>
        <w:autoSpaceDE w:val="0"/>
        <w:autoSpaceDN w:val="0"/>
        <w:adjustRightInd w:val="0"/>
        <w:ind w:leftChars="400"/>
        <w:jc w:val="left"/>
        <w:rPr>
          <w:rFonts w:ascii="宋体" w:hAnsi="Tms Rmn" w:eastAsia="宋体" w:cs="Times New Roman"/>
          <w:kern w:val="0"/>
          <w:sz w:val="21"/>
          <w:szCs w:val="21"/>
        </w:rPr>
      </w:pPr>
      <w:r>
        <w:rPr>
          <w:rFonts w:hint="eastAsia" w:ascii="宋体" w:hAnsi="Tms Rmn" w:eastAsia="宋体" w:cs="Times New Roman"/>
          <w:kern w:val="0"/>
          <w:sz w:val="21"/>
          <w:szCs w:val="21"/>
        </w:rPr>
        <w:t>1、教学内容</w:t>
      </w:r>
    </w:p>
    <w:p>
      <w:pPr>
        <w:autoSpaceDE w:val="0"/>
        <w:autoSpaceDN w:val="0"/>
        <w:adjustRightInd w:val="0"/>
        <w:ind w:leftChars="400"/>
        <w:jc w:val="left"/>
        <w:rPr>
          <w:rFonts w:ascii="宋体" w:hAnsi="Tms Rmn" w:eastAsia="宋体" w:cs="Times New Roman"/>
          <w:kern w:val="0"/>
          <w:sz w:val="21"/>
          <w:szCs w:val="21"/>
        </w:rPr>
      </w:pPr>
      <w:r>
        <w:rPr>
          <w:rFonts w:hint="eastAsia" w:ascii="宋体" w:hAnsi="Tms Rmn" w:eastAsia="宋体" w:cs="Times New Roman"/>
          <w:kern w:val="0"/>
          <w:sz w:val="21"/>
          <w:szCs w:val="21"/>
        </w:rPr>
        <w:t>初始的公文种类较少。西周春秋时期，下行的王命文书主要有“诰、誓、命"几种，各诸侯国及其官吏之间的平行文书，也只有“檄文”和“移书”等，而臣下向国君陈述自己见解的则用“上书”。后来，由于国事的繁杂、礼仪的周全，加之封建等级观念的森严，公文种类逐渐膨胀起来。上对下的公文发展成为“制、诏、策、册、敕、教、令、谕、符、檄、旨”等一二十种；下对上的文书，秦时尚只有“奏”（上书）一种，两汉时期又增加了“章、表、驳议”三种，后来又繁衍了“碟、申、启、呈、笺、题、状” 等；平行文则增加了“关、敕、咨、照会”等多种。这些文种名目虽多，但不少是大同小异的，有的则可互相代替。辛亥革命后，南京国民临时政府颁布了第一个公文程式条例，废除了几千年来封建王朝使用的“制、诏、敕、题。奏、表、笺”等公文名目，明令规定采用“令、咨、呈、示、状”五种公文名称（另有“公函”、“‘布告”），并指明用途，这就使公文向简化、适用方面向前迈了一步。</w:t>
      </w:r>
    </w:p>
    <w:p>
      <w:pPr>
        <w:autoSpaceDE w:val="0"/>
        <w:autoSpaceDN w:val="0"/>
        <w:adjustRightInd w:val="0"/>
        <w:ind w:leftChars="400"/>
        <w:jc w:val="left"/>
        <w:rPr>
          <w:rFonts w:ascii="宋体" w:hAnsi="Tms Rmn" w:eastAsia="宋体" w:cs="Times New Roman"/>
          <w:kern w:val="0"/>
          <w:sz w:val="21"/>
          <w:szCs w:val="21"/>
        </w:rPr>
      </w:pPr>
      <w:r>
        <w:rPr>
          <w:rFonts w:hint="eastAsia" w:ascii="宋体" w:hAnsi="Tms Rmn" w:eastAsia="宋体" w:cs="Times New Roman"/>
          <w:kern w:val="0"/>
          <w:sz w:val="21"/>
          <w:szCs w:val="21"/>
        </w:rPr>
        <w:t>2、教学要点</w:t>
      </w:r>
    </w:p>
    <w:p>
      <w:pPr>
        <w:autoSpaceDE w:val="0"/>
        <w:autoSpaceDN w:val="0"/>
        <w:adjustRightInd w:val="0"/>
        <w:ind w:leftChars="400"/>
        <w:jc w:val="left"/>
        <w:rPr>
          <w:rFonts w:ascii="宋体" w:hAnsi="Tms Rmn" w:eastAsia="宋体" w:cs="Times New Roman"/>
          <w:kern w:val="0"/>
          <w:sz w:val="21"/>
          <w:szCs w:val="21"/>
        </w:rPr>
      </w:pPr>
      <w:r>
        <w:rPr>
          <w:rFonts w:hint="eastAsia" w:ascii="宋体" w:hAnsi="Tms Rmn" w:eastAsia="宋体" w:cs="Times New Roman"/>
          <w:kern w:val="0"/>
          <w:sz w:val="21"/>
          <w:szCs w:val="21"/>
        </w:rPr>
        <w:t>诏策发展史：一、上古时期（五帝）：统称命，命喻自天（君权天授），制性之本（制约性情）；二、三代时期（夏商周）：命、诰、誓；三、战国时期：令；四、秦朝：改命为制，改令为诏：一般来说，诏书主要是帝王发布有关具体人与事的命令的文告，而制书主要是皇帝发布有关重大制度方面的命令的文告。远诏近命：“远诏”就是帝王命令被写成诏书下达，“近命” 就是帝王对臣民当面下达命令。“远诏近命”的惯例大体为后世各朝封建帝王所沿袭；四、汉朝：策书：册封王侯，任免三公。制书：制书，沿袭秦代，仍为皇帝专用的下行文，主要用于大赦和赎罪，也用于告谕和责让官吏。但不限于颁布重大制度，用法较灵活。格式多以“制曰”起首。诏书：用来对百官奏请的批复文告。戒敕：用来训诫州郡官员（如刺史、太守与营官等）的文告。</w:t>
      </w:r>
    </w:p>
    <w:p>
      <w:pPr>
        <w:autoSpaceDE w:val="0"/>
        <w:autoSpaceDN w:val="0"/>
        <w:adjustRightInd w:val="0"/>
        <w:ind w:leftChars="400"/>
        <w:jc w:val="left"/>
        <w:rPr>
          <w:rFonts w:ascii="黑体" w:hAnsi="黑体" w:eastAsia="黑体" w:cs="Times New Roman"/>
          <w:kern w:val="0"/>
          <w:sz w:val="21"/>
          <w:szCs w:val="21"/>
        </w:rPr>
      </w:pPr>
      <w:r>
        <w:rPr>
          <w:rFonts w:hint="eastAsia" w:ascii="黑体" w:hAnsi="黑体" w:eastAsia="黑体" w:cs="Times New Roman"/>
          <w:kern w:val="0"/>
          <w:sz w:val="21"/>
          <w:szCs w:val="21"/>
        </w:rPr>
        <w:t>第三章 文书工作（一）</w:t>
      </w:r>
    </w:p>
    <w:p>
      <w:pPr>
        <w:autoSpaceDE w:val="0"/>
        <w:autoSpaceDN w:val="0"/>
        <w:adjustRightInd w:val="0"/>
        <w:ind w:leftChars="400"/>
        <w:jc w:val="left"/>
        <w:rPr>
          <w:rFonts w:ascii="宋体" w:hAnsi="Tms Rmn" w:eastAsia="宋体" w:cs="Times New Roman"/>
          <w:kern w:val="0"/>
          <w:sz w:val="21"/>
          <w:szCs w:val="21"/>
        </w:rPr>
      </w:pPr>
      <w:r>
        <w:rPr>
          <w:rFonts w:hint="eastAsia" w:ascii="宋体" w:hAnsi="Tms Rmn" w:eastAsia="宋体" w:cs="Times New Roman"/>
          <w:kern w:val="0"/>
          <w:sz w:val="21"/>
          <w:szCs w:val="21"/>
        </w:rPr>
        <w:t>1、教学内容</w:t>
      </w:r>
    </w:p>
    <w:p>
      <w:pPr>
        <w:autoSpaceDE w:val="0"/>
        <w:autoSpaceDN w:val="0"/>
        <w:adjustRightInd w:val="0"/>
        <w:ind w:leftChars="400"/>
        <w:jc w:val="left"/>
        <w:rPr>
          <w:rFonts w:ascii="宋体" w:hAnsi="Tms Rmn" w:eastAsia="宋体" w:cs="Times New Roman"/>
          <w:kern w:val="0"/>
          <w:sz w:val="21"/>
          <w:szCs w:val="21"/>
        </w:rPr>
      </w:pPr>
      <w:r>
        <w:rPr>
          <w:rFonts w:hint="eastAsia" w:ascii="宋体" w:hAnsi="Tms Rmn" w:eastAsia="宋体" w:cs="Times New Roman"/>
          <w:kern w:val="0"/>
          <w:sz w:val="21"/>
          <w:szCs w:val="21"/>
        </w:rPr>
        <w:t>文书工作管理部门：文书工作管理部门的两种类型：中枢秘书部门、综合办公部门。文书工作主管人员：从对文书工作所处地位看，秘书长、办公（厅）室主任、秘书处（科）长都是文书工作主管人员。在现行机关设置状况是：在省、市人民政府机关中，秘书长、办公厅（室）主任、秘书处（科）长三者并置（高、中级政府机关间或也不设秘书长）。县人民政府不设秘书长，由办公室主任兼负其责，视需要在办公室下设秘书科，配秘书科长。</w:t>
      </w:r>
    </w:p>
    <w:p>
      <w:pPr>
        <w:autoSpaceDE w:val="0"/>
        <w:autoSpaceDN w:val="0"/>
        <w:adjustRightInd w:val="0"/>
        <w:ind w:leftChars="400"/>
        <w:jc w:val="left"/>
        <w:rPr>
          <w:rFonts w:ascii="宋体" w:hAnsi="Tms Rmn" w:eastAsia="宋体" w:cs="Times New Roman"/>
          <w:kern w:val="0"/>
          <w:sz w:val="21"/>
          <w:szCs w:val="21"/>
        </w:rPr>
      </w:pPr>
      <w:r>
        <w:rPr>
          <w:rFonts w:hint="eastAsia" w:ascii="宋体" w:hAnsi="Tms Rmn" w:eastAsia="宋体" w:cs="Times New Roman"/>
          <w:kern w:val="0"/>
          <w:sz w:val="21"/>
          <w:szCs w:val="21"/>
        </w:rPr>
        <w:t>2、教学要点</w:t>
      </w:r>
    </w:p>
    <w:p>
      <w:pPr>
        <w:autoSpaceDE w:val="0"/>
        <w:autoSpaceDN w:val="0"/>
        <w:adjustRightInd w:val="0"/>
        <w:ind w:leftChars="400"/>
        <w:jc w:val="left"/>
        <w:rPr>
          <w:rFonts w:ascii="宋体" w:hAnsi="Tms Rmn" w:eastAsia="宋体" w:cs="Times New Roman"/>
          <w:kern w:val="0"/>
          <w:sz w:val="21"/>
          <w:szCs w:val="21"/>
        </w:rPr>
      </w:pPr>
      <w:r>
        <w:rPr>
          <w:rFonts w:hint="eastAsia" w:ascii="宋体" w:hAnsi="Tms Rmn" w:eastAsia="宋体" w:cs="Times New Roman"/>
          <w:kern w:val="0"/>
          <w:sz w:val="21"/>
          <w:szCs w:val="21"/>
        </w:rPr>
        <w:t>文书工作的组织形式：就总体而言，既不可能把某一机关文书工作全部集中到办公、秘书部门进行，也不可能把某一机关文书工作全部分散给各职能部门完成。因此，机关文书工作必然采取由文书工作管理部门与各职能部门分工协作、集中与分散相结合的整体结构方式，简称分工的文书工作组织形式。在分工的组织形式中，有些机关具备典型的集中倾向，大部分文书承办量和办理环节集中在办公、秘书部门；有些机关呈现双重分散倾向，大部分文书承办量和办理环节都分散于各职能部门；有些机关显示单头分散倾向，大部分文书承办量分散于各职能部门，但是大部分办理环节却集中在办公、秘书部门。</w:t>
      </w:r>
    </w:p>
    <w:p>
      <w:pPr>
        <w:autoSpaceDE w:val="0"/>
        <w:autoSpaceDN w:val="0"/>
        <w:adjustRightInd w:val="0"/>
        <w:ind w:leftChars="400"/>
        <w:jc w:val="left"/>
        <w:rPr>
          <w:rFonts w:ascii="黑体" w:hAnsi="黑体" w:eastAsia="黑体" w:cs="Times New Roman"/>
          <w:kern w:val="0"/>
          <w:sz w:val="21"/>
          <w:szCs w:val="21"/>
        </w:rPr>
      </w:pPr>
      <w:r>
        <w:rPr>
          <w:rFonts w:hint="eastAsia" w:ascii="黑体" w:hAnsi="黑体" w:eastAsia="黑体" w:cs="Times New Roman"/>
          <w:kern w:val="0"/>
          <w:sz w:val="21"/>
          <w:szCs w:val="21"/>
        </w:rPr>
        <w:t>第四章 文书工作（二）</w:t>
      </w:r>
    </w:p>
    <w:p>
      <w:pPr>
        <w:autoSpaceDE w:val="0"/>
        <w:autoSpaceDN w:val="0"/>
        <w:adjustRightInd w:val="0"/>
        <w:ind w:leftChars="400"/>
        <w:jc w:val="left"/>
        <w:rPr>
          <w:rFonts w:ascii="宋体" w:hAnsi="Tms Rmn" w:eastAsia="宋体" w:cs="Times New Roman"/>
          <w:kern w:val="0"/>
          <w:sz w:val="21"/>
          <w:szCs w:val="21"/>
        </w:rPr>
      </w:pPr>
      <w:r>
        <w:rPr>
          <w:rFonts w:hint="eastAsia" w:ascii="宋体" w:hAnsi="Tms Rmn" w:eastAsia="宋体" w:cs="Times New Roman"/>
          <w:kern w:val="0"/>
          <w:sz w:val="21"/>
          <w:szCs w:val="21"/>
        </w:rPr>
        <w:t>1、教学内容</w:t>
      </w:r>
    </w:p>
    <w:p>
      <w:pPr>
        <w:autoSpaceDE w:val="0"/>
        <w:autoSpaceDN w:val="0"/>
        <w:adjustRightInd w:val="0"/>
        <w:ind w:leftChars="400"/>
        <w:jc w:val="left"/>
        <w:rPr>
          <w:rFonts w:ascii="宋体" w:hAnsi="Tms Rmn" w:eastAsia="宋体" w:cs="Times New Roman"/>
          <w:kern w:val="0"/>
          <w:sz w:val="21"/>
          <w:szCs w:val="21"/>
        </w:rPr>
      </w:pPr>
      <w:r>
        <w:rPr>
          <w:rFonts w:hint="eastAsia" w:ascii="宋体" w:hAnsi="Tms Rmn" w:eastAsia="宋体" w:cs="Times New Roman"/>
          <w:kern w:val="0"/>
          <w:sz w:val="21"/>
          <w:szCs w:val="21"/>
        </w:rPr>
        <w:t>文书工作的基本原则：一、准确、周密。文件本身的质量，文件处理程序各个环节的质量；二、迅速、适时；三、保密、安全，文件内容的安全（信息的安全），文件实体的安全；四、精简、高效，发文要少而精，不要事事发文，处理文件要方便读者，文件管理要利于使用。</w:t>
      </w:r>
    </w:p>
    <w:p>
      <w:pPr>
        <w:autoSpaceDE w:val="0"/>
        <w:autoSpaceDN w:val="0"/>
        <w:adjustRightInd w:val="0"/>
        <w:ind w:leftChars="400"/>
        <w:jc w:val="left"/>
        <w:rPr>
          <w:rFonts w:ascii="宋体" w:hAnsi="Tms Rmn" w:eastAsia="宋体" w:cs="Times New Roman"/>
          <w:kern w:val="0"/>
          <w:sz w:val="21"/>
          <w:szCs w:val="21"/>
        </w:rPr>
      </w:pPr>
      <w:r>
        <w:rPr>
          <w:rFonts w:hint="eastAsia" w:ascii="宋体" w:hAnsi="Tms Rmn" w:eastAsia="宋体" w:cs="Times New Roman"/>
          <w:kern w:val="0"/>
          <w:sz w:val="21"/>
          <w:szCs w:val="21"/>
        </w:rPr>
        <w:t>2、教学要点</w:t>
      </w:r>
    </w:p>
    <w:p>
      <w:pPr>
        <w:autoSpaceDE w:val="0"/>
        <w:autoSpaceDN w:val="0"/>
        <w:adjustRightInd w:val="0"/>
        <w:ind w:leftChars="400"/>
        <w:jc w:val="left"/>
        <w:rPr>
          <w:rFonts w:ascii="宋体" w:hAnsi="Tms Rmn" w:eastAsia="宋体" w:cs="Times New Roman"/>
          <w:kern w:val="0"/>
          <w:sz w:val="21"/>
          <w:szCs w:val="21"/>
        </w:rPr>
      </w:pPr>
      <w:r>
        <w:rPr>
          <w:rFonts w:hint="eastAsia" w:ascii="宋体" w:hAnsi="Tms Rmn" w:eastAsia="宋体" w:cs="Times New Roman"/>
          <w:kern w:val="0"/>
          <w:sz w:val="21"/>
          <w:szCs w:val="21"/>
        </w:rPr>
        <w:t>现代办公环境下，文书工作机构设置的变化：一、不再是文件信息的线性传递机构，而成为办公网络中一个双向、多向交互的信息中心。二、文书工作机构由集中式向分散式转变；三、技术性要求越来越高；四、管理对象由单纯的文件管理向信息管理、知识管理转变。文书工作的组织形式：一、集中形式：适用于规模不大、职能简单、业务量少、办公驻地集中的小型或基层机关。二、分散形式：适用于规模较大、内部组织机构较多、业务量复杂、办公驻地比较分散的大中型机关。</w:t>
      </w:r>
    </w:p>
    <w:p>
      <w:pPr>
        <w:autoSpaceDE w:val="0"/>
        <w:autoSpaceDN w:val="0"/>
        <w:adjustRightInd w:val="0"/>
        <w:ind w:leftChars="400"/>
        <w:jc w:val="left"/>
        <w:rPr>
          <w:rFonts w:ascii="黑体" w:hAnsi="黑体" w:eastAsia="黑体" w:cs="Times New Roman"/>
          <w:kern w:val="0"/>
          <w:sz w:val="21"/>
          <w:szCs w:val="21"/>
        </w:rPr>
      </w:pPr>
      <w:r>
        <w:rPr>
          <w:rFonts w:hint="eastAsia" w:ascii="黑体" w:hAnsi="黑体" w:eastAsia="黑体" w:cs="Times New Roman"/>
          <w:kern w:val="0"/>
          <w:sz w:val="21"/>
          <w:szCs w:val="21"/>
        </w:rPr>
        <w:t>第五章 文书学</w:t>
      </w:r>
    </w:p>
    <w:p>
      <w:pPr>
        <w:autoSpaceDE w:val="0"/>
        <w:autoSpaceDN w:val="0"/>
        <w:adjustRightInd w:val="0"/>
        <w:ind w:leftChars="400"/>
        <w:jc w:val="left"/>
        <w:rPr>
          <w:rFonts w:ascii="宋体" w:hAnsi="Tms Rmn" w:eastAsia="宋体" w:cs="Times New Roman"/>
          <w:kern w:val="0"/>
          <w:sz w:val="21"/>
          <w:szCs w:val="21"/>
        </w:rPr>
      </w:pPr>
      <w:r>
        <w:rPr>
          <w:rFonts w:hint="eastAsia" w:ascii="宋体" w:hAnsi="Tms Rmn" w:eastAsia="宋体" w:cs="Times New Roman"/>
          <w:kern w:val="0"/>
          <w:sz w:val="21"/>
          <w:szCs w:val="21"/>
        </w:rPr>
        <w:t>1、教学内容</w:t>
      </w:r>
    </w:p>
    <w:p>
      <w:pPr>
        <w:autoSpaceDE w:val="0"/>
        <w:autoSpaceDN w:val="0"/>
        <w:adjustRightInd w:val="0"/>
        <w:ind w:leftChars="400"/>
        <w:jc w:val="left"/>
        <w:rPr>
          <w:rFonts w:ascii="宋体" w:hAnsi="Tms Rmn" w:eastAsia="宋体" w:cs="Times New Roman"/>
          <w:kern w:val="0"/>
          <w:sz w:val="21"/>
          <w:szCs w:val="21"/>
        </w:rPr>
      </w:pPr>
      <w:r>
        <w:rPr>
          <w:rFonts w:hint="eastAsia" w:ascii="宋体" w:hAnsi="Tms Rmn" w:eastAsia="宋体" w:cs="Times New Roman"/>
          <w:kern w:val="0"/>
          <w:sz w:val="21"/>
          <w:szCs w:val="21"/>
        </w:rPr>
        <w:t>文书学是以文书和文书工作为研究对象，以其基础理论、基本知识和技能、历史沿革、内在规律为主要内容的一门带有理论性、知识性、实用性的科学学科。文书学与档案学是紧密联系的并列学科。文书是档案的基本来源。档案是文书的主要归宿。文书学与档案学也不能相互包容或代替。</w:t>
      </w:r>
    </w:p>
    <w:p>
      <w:pPr>
        <w:autoSpaceDE w:val="0"/>
        <w:autoSpaceDN w:val="0"/>
        <w:adjustRightInd w:val="0"/>
        <w:ind w:leftChars="400"/>
        <w:jc w:val="left"/>
        <w:rPr>
          <w:rFonts w:ascii="宋体" w:hAnsi="Tms Rmn" w:eastAsia="宋体" w:cs="Times New Roman"/>
          <w:kern w:val="0"/>
          <w:sz w:val="21"/>
          <w:szCs w:val="21"/>
        </w:rPr>
      </w:pPr>
      <w:r>
        <w:rPr>
          <w:rFonts w:hint="eastAsia" w:ascii="宋体" w:hAnsi="Tms Rmn" w:eastAsia="宋体" w:cs="Times New Roman"/>
          <w:kern w:val="0"/>
          <w:sz w:val="21"/>
          <w:szCs w:val="21"/>
        </w:rPr>
        <w:t>2、教学重点</w:t>
      </w:r>
    </w:p>
    <w:p>
      <w:pPr>
        <w:autoSpaceDE w:val="0"/>
        <w:autoSpaceDN w:val="0"/>
        <w:adjustRightInd w:val="0"/>
        <w:ind w:leftChars="400"/>
        <w:jc w:val="left"/>
        <w:rPr>
          <w:rFonts w:ascii="宋体" w:hAnsi="Tms Rmn" w:eastAsia="宋体" w:cs="Times New Roman"/>
          <w:kern w:val="0"/>
          <w:sz w:val="21"/>
          <w:szCs w:val="21"/>
        </w:rPr>
      </w:pPr>
      <w:r>
        <w:rPr>
          <w:rFonts w:hint="eastAsia" w:ascii="宋体" w:hAnsi="Tms Rmn" w:eastAsia="宋体" w:cs="Times New Roman"/>
          <w:kern w:val="0"/>
          <w:sz w:val="21"/>
          <w:szCs w:val="21"/>
        </w:rPr>
        <w:t>我国文书学的形成和发展：据考古发掘，我国早在３０００多年前的殷商王朝已运用甲骨文书指导政务活动。我国古代却未能形成文书学。在奴隶社会文书工作简单；在封建社会，明清书吏阶层主观上排斥公开探讨、广泛交流，妨碍了将整个社会文书工作的丰富经验上升到理论、汇聚为一门科学学科。在我国，文书学是一门新兴学科。２０世纪３０年代前后，国民党南京政府屡次修订公文程式，减轻等级观念对文种设置的影响，突出实际工作需要对文种用途分工的作用。一批从事或管理文书、档案工作的知识分子和政府人士，将西方行政学研究引入中国，从行政管理角度来研究文书和文书工作。为改善文书工作以提高行政效率，发起了包含文书、档案改革内容的行政效率运动，创办行政效率杂志。并在总结机关文书工作经验的基础上，写出一批文章、论著，一些学校开设了文书学课程。这些，标志着文书学在我国这片久荒的沃土中破土萌芽，逐渐形成。</w:t>
      </w:r>
    </w:p>
    <w:p>
      <w:pPr>
        <w:autoSpaceDE w:val="0"/>
        <w:autoSpaceDN w:val="0"/>
        <w:adjustRightInd w:val="0"/>
        <w:ind w:leftChars="400"/>
        <w:jc w:val="left"/>
        <w:rPr>
          <w:rFonts w:ascii="黑体" w:hAnsi="黑体" w:eastAsia="黑体" w:cs="Times New Roman"/>
          <w:kern w:val="0"/>
          <w:sz w:val="21"/>
          <w:szCs w:val="21"/>
        </w:rPr>
      </w:pPr>
      <w:r>
        <w:rPr>
          <w:rFonts w:hint="eastAsia" w:ascii="黑体" w:hAnsi="黑体" w:eastAsia="黑体" w:cs="Times New Roman"/>
          <w:kern w:val="0"/>
          <w:sz w:val="21"/>
          <w:szCs w:val="21"/>
        </w:rPr>
        <w:t>第六章 公文写作</w:t>
      </w:r>
    </w:p>
    <w:p>
      <w:pPr>
        <w:autoSpaceDE w:val="0"/>
        <w:autoSpaceDN w:val="0"/>
        <w:adjustRightInd w:val="0"/>
        <w:ind w:leftChars="400"/>
        <w:jc w:val="left"/>
        <w:rPr>
          <w:rFonts w:ascii="宋体" w:hAnsi="Tms Rmn" w:eastAsia="宋体" w:cs="Times New Roman"/>
          <w:kern w:val="0"/>
          <w:sz w:val="21"/>
          <w:szCs w:val="21"/>
        </w:rPr>
      </w:pPr>
      <w:r>
        <w:rPr>
          <w:rFonts w:hint="eastAsia" w:ascii="宋体" w:hAnsi="Tms Rmn" w:eastAsia="宋体" w:cs="Times New Roman"/>
          <w:kern w:val="0"/>
          <w:sz w:val="21"/>
          <w:szCs w:val="21"/>
        </w:rPr>
        <w:t>1、教学内容</w:t>
      </w:r>
    </w:p>
    <w:p>
      <w:pPr>
        <w:autoSpaceDE w:val="0"/>
        <w:autoSpaceDN w:val="0"/>
        <w:adjustRightInd w:val="0"/>
        <w:ind w:leftChars="400"/>
        <w:jc w:val="left"/>
        <w:rPr>
          <w:rFonts w:ascii="宋体" w:hAnsi="Tms Rmn" w:eastAsia="宋体" w:cs="Times New Roman"/>
          <w:kern w:val="0"/>
          <w:sz w:val="21"/>
          <w:szCs w:val="21"/>
        </w:rPr>
      </w:pPr>
      <w:r>
        <w:rPr>
          <w:rFonts w:hint="eastAsia" w:ascii="宋体" w:hAnsi="Tms Rmn" w:eastAsia="宋体" w:cs="Times New Roman"/>
          <w:kern w:val="0"/>
          <w:sz w:val="21"/>
          <w:szCs w:val="21"/>
        </w:rPr>
        <w:t>由于公文是在公务活动中产生的，因而它与文人们所写的抒发自我心胸、吟咏物象的文学性作品有很大的不同，整体说来，公文写作主要有以下这样几大特点：一、公文写作是受命性的写作；二、公文写作是实用性的写作；三、公文写作是时限性的写作；四、公文写作是法定性的写作；五、公文写作是定向性的写作。</w:t>
      </w:r>
    </w:p>
    <w:p>
      <w:pPr>
        <w:autoSpaceDE w:val="0"/>
        <w:autoSpaceDN w:val="0"/>
        <w:adjustRightInd w:val="0"/>
        <w:ind w:leftChars="400"/>
        <w:jc w:val="left"/>
        <w:rPr>
          <w:rFonts w:ascii="宋体" w:hAnsi="Tms Rmn" w:eastAsia="宋体" w:cs="Times New Roman"/>
          <w:kern w:val="0"/>
          <w:sz w:val="21"/>
          <w:szCs w:val="21"/>
        </w:rPr>
      </w:pPr>
      <w:r>
        <w:rPr>
          <w:rFonts w:hint="eastAsia" w:ascii="宋体" w:hAnsi="Tms Rmn" w:eastAsia="宋体" w:cs="Times New Roman"/>
          <w:kern w:val="0"/>
          <w:sz w:val="21"/>
          <w:szCs w:val="21"/>
        </w:rPr>
        <w:t>2、教学重点</w:t>
      </w:r>
    </w:p>
    <w:p>
      <w:pPr>
        <w:autoSpaceDE w:val="0"/>
        <w:autoSpaceDN w:val="0"/>
        <w:adjustRightInd w:val="0"/>
        <w:ind w:leftChars="400"/>
        <w:jc w:val="left"/>
        <w:rPr>
          <w:rFonts w:ascii="宋体" w:hAnsi="Tms Rmn" w:eastAsia="宋体" w:cs="Times New Roman"/>
          <w:kern w:val="0"/>
          <w:sz w:val="21"/>
          <w:szCs w:val="21"/>
        </w:rPr>
      </w:pPr>
      <w:r>
        <w:rPr>
          <w:rFonts w:hint="eastAsia" w:ascii="宋体" w:hAnsi="Tms Rmn" w:eastAsia="宋体" w:cs="Times New Roman"/>
          <w:kern w:val="0"/>
          <w:sz w:val="21"/>
          <w:szCs w:val="21"/>
        </w:rPr>
        <w:t>公文写作步骤和方法：明确发文主旨；收集有关材料；拟出写作提纲；认真起草正文；　　反复检查修改。公文写作的作用：其一，公文写作是机关干部的基本功。其二，公文写作是实现自我的重要一环。其三，公文写作也是整合组织资源的重要手段。</w:t>
      </w:r>
    </w:p>
    <w:p>
      <w:pPr>
        <w:autoSpaceDE w:val="0"/>
        <w:autoSpaceDN w:val="0"/>
        <w:adjustRightInd w:val="0"/>
        <w:ind w:leftChars="400"/>
        <w:jc w:val="left"/>
        <w:rPr>
          <w:rFonts w:ascii="黑体" w:hAnsi="黑体" w:eastAsia="黑体" w:cs="Times New Roman"/>
          <w:kern w:val="0"/>
          <w:sz w:val="21"/>
          <w:szCs w:val="21"/>
        </w:rPr>
      </w:pPr>
      <w:r>
        <w:rPr>
          <w:rFonts w:hint="eastAsia" w:ascii="黑体" w:hAnsi="黑体" w:eastAsia="黑体" w:cs="Times New Roman"/>
          <w:kern w:val="0"/>
          <w:sz w:val="21"/>
          <w:szCs w:val="21"/>
        </w:rPr>
        <w:t>第七章 公文用语</w:t>
      </w:r>
    </w:p>
    <w:p>
      <w:pPr>
        <w:pStyle w:val="13"/>
        <w:numPr>
          <w:ilvl w:val="0"/>
          <w:numId w:val="1"/>
        </w:numPr>
        <w:ind w:leftChars="400" w:firstLineChars="0"/>
        <w:jc w:val="left"/>
        <w:rPr>
          <w:sz w:val="21"/>
          <w:szCs w:val="21"/>
        </w:rPr>
      </w:pPr>
      <w:r>
        <w:rPr>
          <w:rFonts w:hint="eastAsia"/>
          <w:sz w:val="21"/>
          <w:szCs w:val="21"/>
        </w:rPr>
        <w:t>教学内容</w:t>
      </w:r>
    </w:p>
    <w:p>
      <w:pPr>
        <w:autoSpaceDE w:val="0"/>
        <w:autoSpaceDN w:val="0"/>
        <w:adjustRightInd w:val="0"/>
        <w:ind w:leftChars="400"/>
        <w:jc w:val="left"/>
        <w:rPr>
          <w:rFonts w:ascii="宋体" w:hAnsi="Tms Rmn" w:eastAsia="宋体" w:cs="Times New Roman"/>
          <w:kern w:val="0"/>
          <w:sz w:val="21"/>
          <w:szCs w:val="21"/>
        </w:rPr>
      </w:pPr>
      <w:r>
        <w:rPr>
          <w:rFonts w:hint="eastAsia" w:ascii="宋体" w:hAnsi="Tms Rmn" w:eastAsia="宋体" w:cs="Times New Roman"/>
          <w:kern w:val="0"/>
          <w:sz w:val="21"/>
          <w:szCs w:val="21"/>
        </w:rPr>
        <w:t>公文的特点主要表现在以下几个方面：一是以处理公共事务为内容；二是有法定的作者；三是有规范的体式；四是必须履行法定程序；五是对受文者的强制性和约束力。公文语言的主要特点是：庄重、准确、朴实、精炼、严谨、规范。庄重指语言端庄，格调郑重严肃。准确指语言真实确切，无虚假错漏，褒贬得当，语意明确，符合实际。朴实指语言平直自然，是非清楚，明白流畅，通俗易懂。精练指语言简明扼要，精当不繁，服从行文目的及表现主题的需要，当详则详，当略则略。严谨指语言含义确切，文句严谨，细致周密，分寸得当，忌模糊含混、语意多歧。规范指语句不仅合乎语法及逻辑原则，而且要合乎公务活动的特殊规范性要求。</w:t>
      </w:r>
    </w:p>
    <w:p>
      <w:pPr>
        <w:autoSpaceDE w:val="0"/>
        <w:autoSpaceDN w:val="0"/>
        <w:adjustRightInd w:val="0"/>
        <w:ind w:leftChars="400"/>
        <w:jc w:val="left"/>
        <w:rPr>
          <w:rFonts w:ascii="宋体" w:hAnsi="Tms Rmn" w:eastAsia="宋体" w:cs="Times New Roman"/>
          <w:kern w:val="0"/>
          <w:sz w:val="21"/>
          <w:szCs w:val="21"/>
        </w:rPr>
      </w:pPr>
      <w:r>
        <w:rPr>
          <w:rFonts w:hint="eastAsia" w:ascii="宋体" w:hAnsi="Tms Rmn" w:eastAsia="宋体" w:cs="Times New Roman"/>
          <w:kern w:val="0"/>
          <w:sz w:val="21"/>
          <w:szCs w:val="21"/>
        </w:rPr>
        <w:t>2、教学重点</w:t>
      </w:r>
    </w:p>
    <w:p>
      <w:pPr>
        <w:autoSpaceDE w:val="0"/>
        <w:autoSpaceDN w:val="0"/>
        <w:adjustRightInd w:val="0"/>
        <w:ind w:leftChars="400"/>
        <w:jc w:val="left"/>
        <w:rPr>
          <w:rFonts w:ascii="宋体" w:hAnsi="Tms Rmn" w:eastAsia="宋体" w:cs="Times New Roman"/>
          <w:kern w:val="0"/>
          <w:sz w:val="21"/>
          <w:szCs w:val="21"/>
        </w:rPr>
      </w:pPr>
      <w:r>
        <w:rPr>
          <w:rFonts w:hint="eastAsia" w:ascii="宋体" w:hAnsi="Tms Rmn" w:eastAsia="宋体" w:cs="Times New Roman"/>
          <w:kern w:val="0"/>
          <w:sz w:val="21"/>
          <w:szCs w:val="21"/>
        </w:rPr>
        <w:t>公文在语词方面，用规范的现代书面语言，不用口语词、方言词、土俗俚语及生造语词等。公文除了以双音节词为主外，还常用一些单音节词、多音节的公文专用词和介宾词组、"的"字结构等。 在语句方面，句子含义完整确切，具有较强的独立性，关键句脱离上下文不生歧义；过渡句少；一般都有表达公文主题的主题句；句子带有较多的限定性修饰词；泛指性无主句较多；"是……的……"形式的判断句较多，用以表达作者的见解、态度和解释。 在修辞方面，追求准确鲜明，质朴平匀、精炼顺达，反对含糊暖昧，繁冗堆砌，重内在美；修辞以消极修辞为主，重在选词炼句，慎用修辞格。</w:t>
      </w:r>
    </w:p>
    <w:p>
      <w:pPr>
        <w:autoSpaceDE w:val="0"/>
        <w:autoSpaceDN w:val="0"/>
        <w:adjustRightInd w:val="0"/>
        <w:ind w:leftChars="400"/>
        <w:jc w:val="left"/>
        <w:rPr>
          <w:rFonts w:ascii="黑体" w:hAnsi="黑体" w:eastAsia="黑体" w:cs="Times New Roman"/>
          <w:kern w:val="0"/>
          <w:sz w:val="21"/>
          <w:szCs w:val="21"/>
        </w:rPr>
      </w:pPr>
      <w:r>
        <w:rPr>
          <w:rFonts w:hint="eastAsia" w:ascii="黑体" w:hAnsi="黑体" w:eastAsia="黑体" w:cs="Times New Roman"/>
          <w:kern w:val="0"/>
          <w:sz w:val="21"/>
          <w:szCs w:val="21"/>
        </w:rPr>
        <w:t>第八章 公文格式</w:t>
      </w:r>
    </w:p>
    <w:p>
      <w:pPr>
        <w:pStyle w:val="13"/>
        <w:numPr>
          <w:ilvl w:val="0"/>
          <w:numId w:val="2"/>
        </w:numPr>
        <w:ind w:leftChars="400" w:firstLineChars="0"/>
        <w:jc w:val="left"/>
        <w:rPr>
          <w:sz w:val="21"/>
          <w:szCs w:val="21"/>
        </w:rPr>
      </w:pPr>
      <w:r>
        <w:rPr>
          <w:rFonts w:hint="eastAsia"/>
          <w:sz w:val="21"/>
          <w:szCs w:val="21"/>
        </w:rPr>
        <w:t>教学内容</w:t>
      </w:r>
    </w:p>
    <w:p>
      <w:pPr>
        <w:autoSpaceDE w:val="0"/>
        <w:autoSpaceDN w:val="0"/>
        <w:adjustRightInd w:val="0"/>
        <w:ind w:leftChars="400"/>
        <w:jc w:val="left"/>
        <w:rPr>
          <w:rFonts w:ascii="宋体" w:hAnsi="Tms Rmn" w:eastAsia="宋体" w:cs="Times New Roman"/>
          <w:kern w:val="0"/>
          <w:sz w:val="21"/>
          <w:szCs w:val="21"/>
        </w:rPr>
      </w:pPr>
      <w:r>
        <w:rPr>
          <w:rFonts w:hint="eastAsia" w:ascii="宋体" w:hAnsi="Tms Rmn" w:eastAsia="宋体" w:cs="Times New Roman"/>
          <w:kern w:val="0"/>
          <w:sz w:val="21"/>
          <w:szCs w:val="21"/>
        </w:rPr>
        <w:t>公文格式，即公文规格样式，是指公文中各个组成部分的构成方式，它和文种是公文外在形式的两个重要方面，直接关系到公文效用的发挥。包括公文组成、公文用纸和装订要求等。《党政机关公文格式》是由国家质量监督检验检疫总局、国家标准化管理委员会发布的关于党政机关公文通用纸张、排版和印制装订要求、公文格式各要素编排规则等的国家标准，是党政机关公文规范化的重要依据，适用于各级党政机关制发的公文。其他机关和单位的公文可以参照执行。</w:t>
      </w:r>
    </w:p>
    <w:p>
      <w:pPr>
        <w:pStyle w:val="13"/>
        <w:numPr>
          <w:ilvl w:val="0"/>
          <w:numId w:val="2"/>
        </w:numPr>
        <w:ind w:leftChars="400" w:firstLineChars="0"/>
        <w:jc w:val="left"/>
        <w:rPr>
          <w:sz w:val="21"/>
          <w:szCs w:val="21"/>
        </w:rPr>
      </w:pPr>
      <w:r>
        <w:rPr>
          <w:rFonts w:hint="eastAsia"/>
          <w:sz w:val="21"/>
          <w:szCs w:val="21"/>
        </w:rPr>
        <w:t>教学重点</w:t>
      </w:r>
    </w:p>
    <w:p>
      <w:pPr>
        <w:autoSpaceDE w:val="0"/>
        <w:autoSpaceDN w:val="0"/>
        <w:adjustRightInd w:val="0"/>
        <w:ind w:leftChars="400"/>
        <w:jc w:val="left"/>
        <w:rPr>
          <w:rFonts w:ascii="宋体" w:hAnsi="Tms Rmn" w:eastAsia="宋体" w:cs="Times New Roman"/>
          <w:kern w:val="0"/>
          <w:sz w:val="21"/>
          <w:szCs w:val="21"/>
        </w:rPr>
      </w:pPr>
      <w:r>
        <w:rPr>
          <w:rFonts w:hint="eastAsia" w:ascii="宋体" w:hAnsi="Tms Rmn" w:eastAsia="宋体" w:cs="Times New Roman"/>
          <w:kern w:val="0"/>
          <w:sz w:val="21"/>
          <w:szCs w:val="21"/>
        </w:rPr>
        <w:t>党政机关公文是党政机关实施领导、履行职能、处理公务的具有特定效力和规范体式的文书，是传达贯彻党和国家方针政策，公布法规和规章，指导、布置和商洽工作，请示和答复问题，报告、通报和交流情况等的重要工具。国家标准按照《党政机关公文处理工作条例》的有关规定，结合这些年来党政机关公文格式的实际应用，对公文用纸、印刷装订、格式要素、式样等作出了具体规定。特别是将党政机关公文用纸统一为国际标准A4型，首次统一了党政机关公文格式要素的编排规则，使党政机关公文的表现形式更加规范。该标准的实施，有利于进一步提高各级党政机关公文制作水平和质量，有力推动党政机关公文处理工作实现科学化、规范化。</w:t>
      </w:r>
    </w:p>
    <w:p>
      <w:pPr>
        <w:autoSpaceDE w:val="0"/>
        <w:autoSpaceDN w:val="0"/>
        <w:adjustRightInd w:val="0"/>
        <w:ind w:leftChars="400"/>
        <w:jc w:val="left"/>
        <w:rPr>
          <w:rFonts w:ascii="黑体" w:hAnsi="黑体" w:eastAsia="黑体" w:cs="Times New Roman"/>
          <w:kern w:val="0"/>
          <w:sz w:val="21"/>
          <w:szCs w:val="21"/>
        </w:rPr>
      </w:pPr>
      <w:r>
        <w:rPr>
          <w:rFonts w:hint="eastAsia" w:ascii="黑体" w:hAnsi="黑体" w:eastAsia="黑体" w:cs="Times New Roman"/>
          <w:kern w:val="0"/>
          <w:sz w:val="21"/>
          <w:szCs w:val="21"/>
        </w:rPr>
        <w:t>第九章 法定文件</w:t>
      </w:r>
    </w:p>
    <w:p>
      <w:pPr>
        <w:autoSpaceDE w:val="0"/>
        <w:autoSpaceDN w:val="0"/>
        <w:adjustRightInd w:val="0"/>
        <w:ind w:leftChars="400"/>
        <w:jc w:val="left"/>
        <w:rPr>
          <w:rFonts w:ascii="宋体" w:hAnsi="宋体" w:eastAsia="宋体" w:cs="Times New Roman"/>
          <w:kern w:val="0"/>
          <w:sz w:val="21"/>
          <w:szCs w:val="21"/>
        </w:rPr>
      </w:pPr>
      <w:r>
        <w:rPr>
          <w:rFonts w:ascii="宋体" w:hAnsi="宋体" w:eastAsia="宋体" w:cs="Times New Roman"/>
          <w:kern w:val="0"/>
          <w:sz w:val="21"/>
          <w:szCs w:val="21"/>
        </w:rPr>
        <w:t>1</w:t>
      </w:r>
      <w:r>
        <w:rPr>
          <w:rFonts w:hint="eastAsia" w:ascii="宋体" w:hAnsi="宋体" w:eastAsia="宋体" w:cs="Times New Roman"/>
          <w:kern w:val="0"/>
          <w:sz w:val="21"/>
          <w:szCs w:val="21"/>
        </w:rPr>
        <w:t>、教学内容</w:t>
      </w:r>
    </w:p>
    <w:p>
      <w:pPr>
        <w:autoSpaceDE w:val="0"/>
        <w:autoSpaceDN w:val="0"/>
        <w:adjustRightInd w:val="0"/>
        <w:ind w:leftChars="400"/>
        <w:jc w:val="left"/>
        <w:rPr>
          <w:rFonts w:ascii="宋体" w:hAnsi="Tms Rmn" w:eastAsia="宋体" w:cs="Times New Roman"/>
          <w:kern w:val="0"/>
          <w:sz w:val="21"/>
          <w:szCs w:val="21"/>
        </w:rPr>
      </w:pPr>
      <w:r>
        <w:rPr>
          <w:rFonts w:hint="eastAsia" w:ascii="宋体" w:hAnsi="Tms Rmn" w:eastAsia="宋体" w:cs="Times New Roman"/>
          <w:kern w:val="0"/>
          <w:sz w:val="21"/>
          <w:szCs w:val="21"/>
        </w:rPr>
        <w:t>规定的法定公文种类：（1）决议（2）决定（3）命令(令)（4）公报（5）公告（6）通告（7）意见（8）通知（9）通报（10）报告（11）请示（12）批复（13）议案（14）函(15) 纪要</w:t>
      </w:r>
    </w:p>
    <w:p>
      <w:pPr>
        <w:pStyle w:val="13"/>
        <w:numPr>
          <w:ilvl w:val="0"/>
          <w:numId w:val="1"/>
        </w:numPr>
        <w:ind w:leftChars="400" w:firstLineChars="0"/>
        <w:jc w:val="left"/>
        <w:rPr>
          <w:sz w:val="21"/>
          <w:szCs w:val="21"/>
        </w:rPr>
      </w:pPr>
      <w:r>
        <w:rPr>
          <w:rFonts w:hint="eastAsia"/>
          <w:sz w:val="21"/>
          <w:szCs w:val="21"/>
        </w:rPr>
        <w:t>教学重点</w:t>
      </w:r>
    </w:p>
    <w:p>
      <w:pPr>
        <w:autoSpaceDE w:val="0"/>
        <w:autoSpaceDN w:val="0"/>
        <w:adjustRightInd w:val="0"/>
        <w:ind w:leftChars="400"/>
        <w:jc w:val="left"/>
        <w:rPr>
          <w:rFonts w:ascii="宋体" w:hAnsi="Tms Rmn" w:eastAsia="宋体" w:cs="Times New Roman"/>
          <w:kern w:val="0"/>
          <w:sz w:val="21"/>
          <w:szCs w:val="21"/>
        </w:rPr>
      </w:pPr>
      <w:r>
        <w:rPr>
          <w:rFonts w:hint="eastAsia" w:ascii="宋体" w:hAnsi="Tms Rmn" w:eastAsia="宋体" w:cs="Times New Roman"/>
          <w:kern w:val="0"/>
          <w:sz w:val="21"/>
          <w:szCs w:val="21"/>
        </w:rPr>
        <w:t>(一)决议。适用于会议讨论通过的重大决策事项。(二)决定。适用于对重要事项作出决策和部署、奖惩有关单位和人员、变更或者撤销下级机关不适当的决定事项。(三)命令(令)。适用于公布行政法规和规章、宣布施行重大强制性措施、批准授予和晋升衔级、嘉奖有关单位和人员。(四)公报。适用于公布重要决定或者重大事项。(五)公告。适用于向国内外宣布重要事项或者法定事项。(六)通告。适用于在一定范围内公布应当遵守或者周知的事项。(七)意见。适用于对重要问题提出见解和处理办法。(八)通知。适用于发布、传达要求下级机关执行和有关单位周知或者执行的事项，批转、转发公文。(九)通报。适用于表彰先进、批评错误、传达重要精神和告知重要情况。(十)报告。适用于向上级机关汇报工作、反映情况，回复上级机关的询问。(十一)请示。适用于向上级机关请求指示、批准。(十二)批复。适用于答复下级机关请示事项。(十三)议案。适用于各级人民政府按照法律程序向同级人民代表大会或者人民代表大会常务委员会提请审议事项。(十四)函。适用于不相隶属机关之间商洽工作、询问和答复问题、请求批准和答复审批事项。(十五)纪要。适用于记载会议主要情况和议定事项。</w:t>
      </w:r>
    </w:p>
    <w:p>
      <w:pPr>
        <w:autoSpaceDE w:val="0"/>
        <w:autoSpaceDN w:val="0"/>
        <w:adjustRightInd w:val="0"/>
        <w:ind w:leftChars="400"/>
        <w:jc w:val="left"/>
        <w:rPr>
          <w:rFonts w:ascii="黑体" w:hAnsi="黑体" w:eastAsia="黑体" w:cs="Times New Roman"/>
          <w:kern w:val="0"/>
          <w:sz w:val="21"/>
          <w:szCs w:val="21"/>
        </w:rPr>
      </w:pPr>
      <w:r>
        <w:rPr>
          <w:rFonts w:hint="eastAsia" w:ascii="黑体" w:hAnsi="黑体" w:eastAsia="黑体" w:cs="Times New Roman"/>
          <w:kern w:val="0"/>
          <w:sz w:val="21"/>
          <w:szCs w:val="21"/>
        </w:rPr>
        <w:t>第十章 常用公文（一）</w:t>
      </w:r>
    </w:p>
    <w:p>
      <w:pPr>
        <w:autoSpaceDE w:val="0"/>
        <w:autoSpaceDN w:val="0"/>
        <w:adjustRightInd w:val="0"/>
        <w:ind w:leftChars="400"/>
        <w:jc w:val="left"/>
        <w:rPr>
          <w:rFonts w:ascii="宋体" w:hAnsi="宋体" w:eastAsia="宋体" w:cs="Times New Roman"/>
          <w:kern w:val="0"/>
          <w:sz w:val="21"/>
          <w:szCs w:val="21"/>
        </w:rPr>
      </w:pPr>
      <w:r>
        <w:rPr>
          <w:rFonts w:ascii="宋体" w:hAnsi="宋体" w:eastAsia="宋体" w:cs="Times New Roman"/>
          <w:kern w:val="0"/>
          <w:sz w:val="21"/>
          <w:szCs w:val="21"/>
        </w:rPr>
        <w:t>1</w:t>
      </w:r>
      <w:r>
        <w:rPr>
          <w:rFonts w:hint="eastAsia" w:ascii="宋体" w:hAnsi="宋体" w:eastAsia="宋体" w:cs="Times New Roman"/>
          <w:kern w:val="0"/>
          <w:sz w:val="21"/>
          <w:szCs w:val="21"/>
        </w:rPr>
        <w:t>、教学内容</w:t>
      </w:r>
    </w:p>
    <w:p>
      <w:pPr>
        <w:autoSpaceDE w:val="0"/>
        <w:autoSpaceDN w:val="0"/>
        <w:adjustRightInd w:val="0"/>
        <w:ind w:leftChars="400"/>
        <w:jc w:val="left"/>
        <w:rPr>
          <w:rFonts w:ascii="Arial" w:hAnsi="Arial" w:eastAsia="宋体" w:cs="Arial"/>
          <w:color w:val="333333"/>
          <w:kern w:val="0"/>
          <w:sz w:val="21"/>
          <w:szCs w:val="21"/>
        </w:rPr>
      </w:pPr>
      <w:r>
        <w:rPr>
          <w:rFonts w:ascii="Arial" w:hAnsi="Arial" w:eastAsia="宋体" w:cs="Arial"/>
          <w:color w:val="333333"/>
          <w:kern w:val="0"/>
          <w:sz w:val="21"/>
          <w:szCs w:val="21"/>
        </w:rPr>
        <w:t>章程，是组织、社团经特定的程序制定的关于组织规程和办事规则的规范性文书，是一种根本性的规章制度。章程与规则的关系类似于宪法和法律。</w:t>
      </w:r>
      <w:r>
        <w:rPr>
          <w:rFonts w:hint="eastAsia" w:ascii="Arial" w:hAnsi="Arial" w:eastAsia="宋体" w:cs="Arial"/>
          <w:color w:val="333333"/>
          <w:kern w:val="0"/>
          <w:sz w:val="21"/>
          <w:szCs w:val="21"/>
        </w:rPr>
        <w:t>条例是国家权力机关或行政机关依照政策和法令而制定并发布的，针对政治、经济、文化等各个领域内的某些具体事项而作出的，比较全面系统、具有长期执行效力的法规性公文。条例是法的表现形式之一。一般只是对特定社会关系作出的规定。条例是由国家制定或批准的规定某些事项或某一机关组织、职权等规范性的法律文件，也是指团体制定的章程。它具有法的效力，是根据宪法和法律制定的，是从属于法律的规范性文件，人人必须遵守，违反它就要带来一定的法律后果。规定是强调预先（即在行为发生之前）和法律效力，用于法律条文中的决定。规定作动词指对事物的数量，质量或方式，方法等做出具有约束力的决定，比如说：~产品的质量标准 | 不得超过~的日期等。</w:t>
      </w:r>
    </w:p>
    <w:p>
      <w:pPr>
        <w:autoSpaceDE w:val="0"/>
        <w:autoSpaceDN w:val="0"/>
        <w:adjustRightInd w:val="0"/>
        <w:ind w:leftChars="400"/>
        <w:jc w:val="left"/>
        <w:rPr>
          <w:rFonts w:ascii="Arial" w:hAnsi="Arial" w:eastAsia="宋体" w:cs="Arial"/>
          <w:color w:val="333333"/>
          <w:kern w:val="0"/>
          <w:sz w:val="21"/>
          <w:szCs w:val="21"/>
        </w:rPr>
      </w:pPr>
      <w:r>
        <w:rPr>
          <w:rFonts w:ascii="Arial" w:hAnsi="Arial" w:eastAsia="宋体" w:cs="Arial"/>
          <w:color w:val="333333"/>
          <w:kern w:val="0"/>
          <w:sz w:val="21"/>
          <w:szCs w:val="21"/>
        </w:rPr>
        <w:t>2</w:t>
      </w:r>
      <w:r>
        <w:rPr>
          <w:rFonts w:hint="eastAsia" w:ascii="Arial" w:hAnsi="Arial" w:eastAsia="宋体" w:cs="Arial"/>
          <w:color w:val="333333"/>
          <w:kern w:val="0"/>
          <w:sz w:val="21"/>
          <w:szCs w:val="21"/>
        </w:rPr>
        <w:t>、教学重点</w:t>
      </w:r>
    </w:p>
    <w:p>
      <w:pPr>
        <w:autoSpaceDE w:val="0"/>
        <w:autoSpaceDN w:val="0"/>
        <w:adjustRightInd w:val="0"/>
        <w:ind w:leftChars="400"/>
        <w:jc w:val="left"/>
        <w:rPr>
          <w:rFonts w:ascii="Arial" w:hAnsi="Arial" w:eastAsia="宋体" w:cs="Arial"/>
          <w:color w:val="333333"/>
          <w:kern w:val="0"/>
          <w:sz w:val="21"/>
          <w:szCs w:val="21"/>
        </w:rPr>
      </w:pPr>
      <w:r>
        <w:rPr>
          <w:rFonts w:hint="eastAsia" w:ascii="Arial" w:hAnsi="Arial" w:eastAsia="宋体" w:cs="Arial"/>
          <w:color w:val="333333"/>
          <w:kern w:val="0"/>
          <w:sz w:val="21"/>
          <w:szCs w:val="21"/>
        </w:rPr>
        <w:t>公告，是指政府、团体对重大事件当众正式公布或者公开宣告，宣布。国务院2012年4月16日发布、2012年7月1日起施行的《党政机关公文处理工作条例》，对公告的使用表述为：“适用于向国内外宣布重要事项或者法定事项”。其中包含两方面的内容：一是向国内外宣布重要事项，公布依据政策、法令采取的重大行动等；二是向国内外宣布法定事项，公布依据法律规定告知国内外的有关重要规定和重大行动等。通告，是适用于在一定范围内公布应当遵守或者周知事项的周知性公文。通告的使用面比较广泛，一般机关、企事业单位甚至临时性机构都可使用，但强制性的通告必须依法发布，其限定范围不能超过发文机关的权限。公报也称新闻公报，是党政机关和人民团体公开发布重大事件或重要决定事项的报道性公文，是党和国家经常使用的重要文种。 公报是应用写作的重要文体之一。</w:t>
      </w:r>
    </w:p>
    <w:p>
      <w:pPr>
        <w:autoSpaceDE w:val="0"/>
        <w:autoSpaceDN w:val="0"/>
        <w:adjustRightInd w:val="0"/>
        <w:ind w:leftChars="400"/>
        <w:jc w:val="left"/>
        <w:rPr>
          <w:rFonts w:ascii="黑体" w:hAnsi="黑体" w:eastAsia="黑体" w:cs="Times New Roman"/>
          <w:kern w:val="0"/>
          <w:sz w:val="21"/>
          <w:szCs w:val="21"/>
        </w:rPr>
      </w:pPr>
      <w:r>
        <w:rPr>
          <w:rFonts w:hint="eastAsia" w:ascii="黑体" w:hAnsi="黑体" w:eastAsia="黑体" w:cs="Times New Roman"/>
          <w:kern w:val="0"/>
          <w:sz w:val="21"/>
          <w:szCs w:val="21"/>
        </w:rPr>
        <w:t>第十一章 常用公文（二）</w:t>
      </w:r>
    </w:p>
    <w:p>
      <w:pPr>
        <w:autoSpaceDE w:val="0"/>
        <w:autoSpaceDN w:val="0"/>
        <w:adjustRightInd w:val="0"/>
        <w:ind w:leftChars="400"/>
        <w:jc w:val="left"/>
        <w:rPr>
          <w:rFonts w:ascii="宋体" w:hAnsi="Tms Rmn" w:eastAsia="宋体" w:cs="Times New Roman"/>
          <w:kern w:val="0"/>
          <w:sz w:val="21"/>
          <w:szCs w:val="21"/>
        </w:rPr>
      </w:pPr>
      <w:r>
        <w:rPr>
          <w:rFonts w:ascii="宋体" w:hAnsi="Tms Rmn" w:eastAsia="宋体" w:cs="Times New Roman"/>
          <w:kern w:val="0"/>
          <w:sz w:val="21"/>
          <w:szCs w:val="21"/>
        </w:rPr>
        <w:t>1</w:t>
      </w:r>
      <w:r>
        <w:rPr>
          <w:rFonts w:hint="eastAsia" w:ascii="宋体" w:hAnsi="Tms Rmn" w:eastAsia="宋体" w:cs="Times New Roman"/>
          <w:kern w:val="0"/>
          <w:sz w:val="21"/>
          <w:szCs w:val="21"/>
        </w:rPr>
        <w:t>、教学内容</w:t>
      </w:r>
    </w:p>
    <w:p>
      <w:pPr>
        <w:autoSpaceDE w:val="0"/>
        <w:autoSpaceDN w:val="0"/>
        <w:adjustRightInd w:val="0"/>
        <w:ind w:leftChars="400"/>
        <w:jc w:val="left"/>
        <w:rPr>
          <w:rFonts w:ascii="宋体" w:hAnsi="Tms Rmn" w:eastAsia="宋体" w:cs="Times New Roman"/>
          <w:kern w:val="0"/>
          <w:sz w:val="21"/>
          <w:szCs w:val="21"/>
        </w:rPr>
      </w:pPr>
      <w:r>
        <w:rPr>
          <w:rFonts w:hint="eastAsia" w:ascii="宋体" w:hAnsi="Tms Rmn" w:eastAsia="宋体" w:cs="Times New Roman"/>
          <w:kern w:val="0"/>
          <w:sz w:val="21"/>
          <w:szCs w:val="21"/>
        </w:rPr>
        <w:t>意见是上级领导机关对下级机关部署工作，指导下级机关工作活动的原则、步骤和方法的一种文体。意见的指导性很强，有时是针对当时带有普遍性的问题发布的，有时是针对局部性的问题而发布的，意见往往在特定的时间内发生效力。通知，是运用广泛的知照性公文。用来发布法规、规章，转发上级机关、同级机关和不相隶属机关的公文，批转下级机关的公文，要求下级机关办理某项事务等。通知，一般由标题、主送单位（受文对象）、正文、落款四部分组成。批复是指答复下级机关的请示事项时使用的文种，是机关应用写作活动中的一种常用公务文书。批复一般分为审批事项批复、审批法规批复和阐述政策的批复三种。</w:t>
      </w:r>
    </w:p>
    <w:p>
      <w:pPr>
        <w:autoSpaceDE w:val="0"/>
        <w:autoSpaceDN w:val="0"/>
        <w:adjustRightInd w:val="0"/>
        <w:ind w:leftChars="400"/>
        <w:jc w:val="left"/>
        <w:rPr>
          <w:rFonts w:hint="eastAsia" w:ascii="宋体" w:hAnsi="Tms Rmn" w:eastAsia="宋体" w:cs="Times New Roman"/>
          <w:kern w:val="0"/>
          <w:sz w:val="21"/>
          <w:szCs w:val="21"/>
        </w:rPr>
      </w:pPr>
      <w:r>
        <w:rPr>
          <w:rFonts w:hint="eastAsia" w:ascii="宋体" w:hAnsi="Tms Rmn" w:eastAsia="宋体" w:cs="Times New Roman"/>
          <w:kern w:val="0"/>
          <w:sz w:val="21"/>
          <w:szCs w:val="21"/>
        </w:rPr>
        <w:t>2、教学重点</w:t>
      </w:r>
    </w:p>
    <w:p>
      <w:pPr>
        <w:autoSpaceDE w:val="0"/>
        <w:autoSpaceDN w:val="0"/>
        <w:adjustRightInd w:val="0"/>
        <w:ind w:leftChars="400"/>
        <w:jc w:val="left"/>
        <w:rPr>
          <w:rFonts w:ascii="宋体" w:hAnsi="Tms Rmn" w:eastAsia="宋体" w:cs="Times New Roman"/>
          <w:kern w:val="0"/>
          <w:sz w:val="21"/>
          <w:szCs w:val="21"/>
        </w:rPr>
      </w:pPr>
      <w:r>
        <w:rPr>
          <w:rFonts w:hint="eastAsia" w:ascii="宋体" w:hAnsi="Tms Rmn" w:eastAsia="宋体" w:cs="Times New Roman"/>
          <w:kern w:val="0"/>
          <w:sz w:val="21"/>
          <w:szCs w:val="21"/>
        </w:rPr>
        <w:t>请示是“适用于向上级请求指示、批准”的公文。请示属于上行文。凡是本机关无权、无力决定和解决的事项可以向上级请示，而上级则应及时回复。是应用写作实践中的一种常用文体。请示可分为三种。请求指示的请示、请求批准的请示、请求批转的请示。报告使用范围很广。按照上级部署或工作计划，每完成一项任务，一般都要向上级写报告，反映工作中的基本情况、工作中取得的经验教训、存在的问题以及今后工作设想等，以取得上级领导部门的指导。议案是由具有法定提案权的国家机关、会议常设或临时设立的机构和组织，以及一定数量的个人，向权力机构提出进行审议并作出决定的议事原案。每个国家的议案提交程序和规定都是不一样的，但是都是行使国家权利的重要手段。</w:t>
      </w:r>
    </w:p>
    <w:p>
      <w:pPr>
        <w:autoSpaceDE w:val="0"/>
        <w:autoSpaceDN w:val="0"/>
        <w:adjustRightInd w:val="0"/>
        <w:ind w:leftChars="400"/>
        <w:jc w:val="left"/>
        <w:rPr>
          <w:rFonts w:ascii="黑体" w:hAnsi="黑体" w:eastAsia="黑体" w:cs="Times New Roman"/>
          <w:kern w:val="0"/>
          <w:sz w:val="21"/>
          <w:szCs w:val="21"/>
        </w:rPr>
      </w:pPr>
      <w:r>
        <w:rPr>
          <w:rFonts w:hint="eastAsia" w:ascii="黑体" w:hAnsi="黑体" w:eastAsia="黑体" w:cs="Times New Roman"/>
          <w:kern w:val="0"/>
          <w:sz w:val="21"/>
          <w:szCs w:val="21"/>
        </w:rPr>
        <w:t>第十二章 发文处理</w:t>
      </w:r>
    </w:p>
    <w:p>
      <w:pPr>
        <w:autoSpaceDE w:val="0"/>
        <w:autoSpaceDN w:val="0"/>
        <w:adjustRightInd w:val="0"/>
        <w:ind w:leftChars="400"/>
        <w:jc w:val="left"/>
        <w:rPr>
          <w:rFonts w:ascii="宋体" w:hAnsi="Tms Rmn" w:eastAsia="宋体" w:cs="Times New Roman"/>
          <w:kern w:val="0"/>
          <w:sz w:val="21"/>
          <w:szCs w:val="21"/>
        </w:rPr>
      </w:pPr>
      <w:r>
        <w:rPr>
          <w:rFonts w:ascii="宋体" w:hAnsi="Tms Rmn" w:eastAsia="宋体" w:cs="Times New Roman"/>
          <w:kern w:val="0"/>
          <w:sz w:val="21"/>
          <w:szCs w:val="21"/>
        </w:rPr>
        <w:t>1</w:t>
      </w:r>
      <w:r>
        <w:rPr>
          <w:rFonts w:hint="eastAsia" w:ascii="宋体" w:hAnsi="Tms Rmn" w:eastAsia="宋体" w:cs="Times New Roman"/>
          <w:kern w:val="0"/>
          <w:sz w:val="21"/>
          <w:szCs w:val="21"/>
        </w:rPr>
        <w:t>、教学内容</w:t>
      </w:r>
    </w:p>
    <w:p>
      <w:pPr>
        <w:autoSpaceDE w:val="0"/>
        <w:autoSpaceDN w:val="0"/>
        <w:adjustRightInd w:val="0"/>
        <w:ind w:leftChars="400"/>
        <w:jc w:val="left"/>
        <w:rPr>
          <w:rFonts w:ascii="宋体" w:hAnsi="Tms Rmn" w:eastAsia="宋体" w:cs="Times New Roman"/>
          <w:kern w:val="0"/>
          <w:sz w:val="21"/>
          <w:szCs w:val="21"/>
        </w:rPr>
      </w:pPr>
      <w:r>
        <w:rPr>
          <w:rFonts w:hint="eastAsia" w:ascii="宋体" w:hAnsi="Tms Rmn" w:eastAsia="宋体" w:cs="Times New Roman"/>
          <w:kern w:val="0"/>
          <w:sz w:val="21"/>
          <w:szCs w:val="21"/>
        </w:rPr>
        <w:t>现行机关工作实践中，文书的成文内容传输形式多种多样。一、拍发电报。适用于发送情况紧急且内容简短或需要保密的文书内容。二、电讯传真。适用于发送时间紧迫、篇幅较长且无秘密性的文书内容。三、编印简报。可以登载专门采编的情况交流性材料，也可以登载现有的报告、总结、调查报告以及其他各种公文。四、刊载公报。刊载的多为具有权威性的现行文件。五、登报。适用于公开发布的普发文。六、张贴。以宣告文种撰写的文书，通常可以用张贴的形式对社会公布。</w:t>
      </w:r>
    </w:p>
    <w:p>
      <w:pPr>
        <w:autoSpaceDE w:val="0"/>
        <w:autoSpaceDN w:val="0"/>
        <w:adjustRightInd w:val="0"/>
        <w:ind w:leftChars="400"/>
        <w:jc w:val="left"/>
        <w:rPr>
          <w:rFonts w:hint="eastAsia" w:ascii="宋体" w:hAnsi="Tms Rmn" w:eastAsia="宋体" w:cs="Times New Roman"/>
          <w:kern w:val="0"/>
          <w:sz w:val="21"/>
          <w:szCs w:val="21"/>
        </w:rPr>
      </w:pPr>
      <w:r>
        <w:rPr>
          <w:rFonts w:hint="eastAsia" w:ascii="宋体" w:hAnsi="Tms Rmn" w:eastAsia="宋体" w:cs="Times New Roman"/>
          <w:kern w:val="0"/>
          <w:sz w:val="21"/>
          <w:szCs w:val="21"/>
        </w:rPr>
        <w:t>2、教学重点</w:t>
      </w:r>
    </w:p>
    <w:p>
      <w:pPr>
        <w:autoSpaceDE w:val="0"/>
        <w:autoSpaceDN w:val="0"/>
        <w:adjustRightInd w:val="0"/>
        <w:ind w:leftChars="400"/>
        <w:jc w:val="left"/>
        <w:rPr>
          <w:rFonts w:ascii="宋体" w:hAnsi="Tms Rmn" w:eastAsia="宋体" w:cs="Times New Roman"/>
          <w:kern w:val="0"/>
          <w:sz w:val="21"/>
          <w:szCs w:val="21"/>
        </w:rPr>
      </w:pPr>
      <w:r>
        <w:rPr>
          <w:rFonts w:hint="eastAsia" w:ascii="宋体" w:hAnsi="Tms Rmn" w:eastAsia="宋体" w:cs="Times New Roman"/>
          <w:kern w:val="0"/>
          <w:sz w:val="21"/>
          <w:szCs w:val="21"/>
        </w:rPr>
        <w:t>发文。发文是以单篇文书为基本单位，经外部传递，发送到收文机关。在以实体形式传输文书成文内容的多种途径中，发文是最基本的一种。发文登记，是本机关形成和发出文书的总帐簿，藉以掌握本机关发文的总体情况，并方便对发文事项催询，还可作为文书立卷工作中收集的依据。将需要发出的文书按既定份数和收受机关分别装入封套交付发出，谓之封发。装封进行的步骤有：检查、装套、写封、封封。现行文书传递，有机要通信、专人递送、文件交换、普通邮寄四个途径。其形成各有缘由。</w:t>
      </w:r>
    </w:p>
    <w:p>
      <w:pPr>
        <w:autoSpaceDE w:val="0"/>
        <w:autoSpaceDN w:val="0"/>
        <w:adjustRightInd w:val="0"/>
        <w:ind w:leftChars="400"/>
        <w:jc w:val="left"/>
        <w:rPr>
          <w:rFonts w:ascii="黑体" w:hAnsi="黑体" w:eastAsia="黑体" w:cs="Times New Roman"/>
          <w:kern w:val="0"/>
          <w:sz w:val="21"/>
          <w:szCs w:val="21"/>
        </w:rPr>
      </w:pPr>
      <w:r>
        <w:rPr>
          <w:rFonts w:hint="eastAsia" w:ascii="黑体" w:hAnsi="黑体" w:eastAsia="黑体" w:cs="Times New Roman"/>
          <w:kern w:val="0"/>
          <w:sz w:val="21"/>
          <w:szCs w:val="21"/>
        </w:rPr>
        <w:t>第十三章 收文处理</w:t>
      </w:r>
    </w:p>
    <w:p>
      <w:pPr>
        <w:pStyle w:val="13"/>
        <w:numPr>
          <w:ilvl w:val="0"/>
          <w:numId w:val="3"/>
        </w:numPr>
        <w:ind w:leftChars="400" w:firstLineChars="0"/>
        <w:jc w:val="left"/>
        <w:rPr>
          <w:sz w:val="21"/>
          <w:szCs w:val="21"/>
        </w:rPr>
      </w:pPr>
      <w:r>
        <w:rPr>
          <w:rFonts w:hint="eastAsia"/>
          <w:sz w:val="21"/>
          <w:szCs w:val="21"/>
        </w:rPr>
        <w:t>教学内容</w:t>
      </w:r>
    </w:p>
    <w:p>
      <w:pPr>
        <w:autoSpaceDE w:val="0"/>
        <w:autoSpaceDN w:val="0"/>
        <w:adjustRightInd w:val="0"/>
        <w:ind w:leftChars="400"/>
        <w:jc w:val="left"/>
        <w:rPr>
          <w:rFonts w:ascii="宋体" w:hAnsi="Tms Rmn" w:eastAsia="宋体" w:cs="Times New Roman"/>
          <w:kern w:val="0"/>
          <w:sz w:val="21"/>
          <w:szCs w:val="21"/>
        </w:rPr>
      </w:pPr>
      <w:r>
        <w:rPr>
          <w:rFonts w:hint="eastAsia" w:ascii="宋体" w:hAnsi="Tms Rmn" w:eastAsia="宋体" w:cs="Times New Roman"/>
          <w:kern w:val="0"/>
          <w:sz w:val="21"/>
          <w:szCs w:val="21"/>
        </w:rPr>
        <w:t>将外机关来文收进并依各自分工启封，谓之收启。在实行内、外收发协作制的大机关，外收发人员对来文不启封，而按照封套所标明的收文对象加以分捡。封套标明整个机关为收文者，送交内收发；封套标明本机关某一部门为收文者，则交相应部门内勤人员。分捡中，应注意将封套有急度三角戳记的收文排列在前，或先行单独转送，以免压误。内收发人员对封套仅标明本机关（单位）收或“负责同志收”的来文有权启封，以便登记和进一步注办、分发。对特别指名某领导人亲启的函件，则应交其本人，以免误拆私信。</w:t>
      </w:r>
    </w:p>
    <w:p>
      <w:pPr>
        <w:autoSpaceDE w:val="0"/>
        <w:autoSpaceDN w:val="0"/>
        <w:adjustRightInd w:val="0"/>
        <w:ind w:leftChars="400"/>
        <w:jc w:val="left"/>
        <w:rPr>
          <w:rFonts w:hint="eastAsia" w:ascii="宋体" w:hAnsi="Tms Rmn" w:eastAsia="宋体" w:cs="Times New Roman"/>
          <w:kern w:val="0"/>
          <w:sz w:val="21"/>
          <w:szCs w:val="21"/>
        </w:rPr>
      </w:pPr>
      <w:r>
        <w:rPr>
          <w:rFonts w:hint="eastAsia" w:ascii="宋体" w:hAnsi="Tms Rmn" w:eastAsia="宋体" w:cs="Times New Roman"/>
          <w:kern w:val="0"/>
          <w:sz w:val="21"/>
          <w:szCs w:val="21"/>
        </w:rPr>
        <w:t>2、教学重点</w:t>
      </w:r>
    </w:p>
    <w:p>
      <w:pPr>
        <w:autoSpaceDE w:val="0"/>
        <w:autoSpaceDN w:val="0"/>
        <w:adjustRightInd w:val="0"/>
        <w:ind w:leftChars="400"/>
        <w:jc w:val="left"/>
        <w:rPr>
          <w:rFonts w:ascii="宋体" w:hAnsi="Tms Rmn" w:eastAsia="宋体" w:cs="Times New Roman"/>
          <w:kern w:val="0"/>
          <w:sz w:val="21"/>
          <w:szCs w:val="21"/>
        </w:rPr>
      </w:pPr>
      <w:r>
        <w:rPr>
          <w:rFonts w:hint="eastAsia" w:ascii="宋体" w:hAnsi="Tms Rmn" w:eastAsia="宋体" w:cs="Times New Roman"/>
          <w:kern w:val="0"/>
          <w:sz w:val="21"/>
          <w:szCs w:val="21"/>
        </w:rPr>
        <w:t>一、分文（批抄、注办、分发）；二、拟办；三、批办；四、传阅；五、办结。办文周期与急度：一、量化办文周期，调整环节时间；二、纯化时间种类，急度指导转嫁；三、加强催办环节，完善催办网络。</w:t>
      </w:r>
    </w:p>
    <w:p>
      <w:pPr>
        <w:autoSpaceDE w:val="0"/>
        <w:autoSpaceDN w:val="0"/>
        <w:adjustRightInd w:val="0"/>
        <w:ind w:leftChars="400"/>
        <w:jc w:val="left"/>
        <w:rPr>
          <w:rFonts w:ascii="黑体" w:hAnsi="黑体" w:eastAsia="黑体" w:cs="Times New Roman"/>
          <w:kern w:val="0"/>
          <w:sz w:val="21"/>
          <w:szCs w:val="21"/>
        </w:rPr>
      </w:pPr>
      <w:r>
        <w:rPr>
          <w:rFonts w:hint="eastAsia" w:ascii="黑体" w:hAnsi="黑体" w:eastAsia="黑体" w:cs="Times New Roman"/>
          <w:kern w:val="0"/>
          <w:sz w:val="21"/>
          <w:szCs w:val="21"/>
        </w:rPr>
        <w:t>第十四章 文书立卷</w:t>
      </w:r>
    </w:p>
    <w:p>
      <w:pPr>
        <w:pStyle w:val="13"/>
        <w:numPr>
          <w:ilvl w:val="0"/>
          <w:numId w:val="4"/>
        </w:numPr>
        <w:ind w:leftChars="400" w:firstLineChars="0"/>
        <w:jc w:val="left"/>
        <w:rPr>
          <w:sz w:val="21"/>
          <w:szCs w:val="21"/>
        </w:rPr>
      </w:pPr>
      <w:r>
        <w:rPr>
          <w:rFonts w:hint="eastAsia"/>
          <w:sz w:val="21"/>
          <w:szCs w:val="21"/>
        </w:rPr>
        <w:t>教学内容</w:t>
      </w:r>
    </w:p>
    <w:p>
      <w:pPr>
        <w:autoSpaceDE w:val="0"/>
        <w:autoSpaceDN w:val="0"/>
        <w:adjustRightInd w:val="0"/>
        <w:ind w:leftChars="400"/>
        <w:jc w:val="left"/>
        <w:rPr>
          <w:rFonts w:ascii="宋体" w:hAnsi="Tms Rmn" w:eastAsia="宋体" w:cs="Times New Roman"/>
          <w:kern w:val="0"/>
          <w:sz w:val="21"/>
          <w:szCs w:val="21"/>
        </w:rPr>
      </w:pPr>
      <w:r>
        <w:rPr>
          <w:rFonts w:hint="eastAsia" w:ascii="宋体" w:hAnsi="Tms Rmn" w:eastAsia="宋体" w:cs="Times New Roman"/>
          <w:kern w:val="0"/>
          <w:sz w:val="21"/>
          <w:szCs w:val="21"/>
        </w:rPr>
        <w:t>办文书理完毕后，在一段时间内仍具有现时执行效用和办事依据作用、宣传教育作用。所有办毕文书都保留了凭证作用、参考作用。文书办理完毕初，自然地处于分散状况、凌乱状态，不利于各项作用充分发挥。将分散、凌乱的办毕文书转化为集中、系统的档案，不仅可以充分发挥办毕文书所保留的各项作用，而且新增生出综合证事作用，使档案的整体作用，大于构成档案前身的全部单篇文书作用的总和。立卷是现行机关办毕文书转化为档案的途径。办毕文书转化为档案的外因条件是：必须经有意识地集中和按照一定科学体系加以系统整理。文书立卷定义可简练表述为，将同一拥有者的文书整理为由许多案卷构成的系统汇集。该定义包涵三方面内容：第一，立卷范围是同一个拥有者的全部发文、收文、内部文书。第二，立卷形成的基本单位是案卷。案卷是紧密联系的一组或彼此有一定共同点的几组有价值办毕文书的固定结合体。第三，立卷的最终结果，是整理为由许多案卷构成的系统汇集。</w:t>
      </w:r>
    </w:p>
    <w:p>
      <w:pPr>
        <w:pStyle w:val="13"/>
        <w:numPr>
          <w:ilvl w:val="0"/>
          <w:numId w:val="4"/>
        </w:numPr>
        <w:ind w:leftChars="400" w:firstLineChars="0"/>
        <w:jc w:val="left"/>
        <w:rPr>
          <w:sz w:val="21"/>
          <w:szCs w:val="21"/>
        </w:rPr>
      </w:pPr>
      <w:r>
        <w:rPr>
          <w:rFonts w:hint="eastAsia"/>
          <w:sz w:val="21"/>
          <w:szCs w:val="21"/>
        </w:rPr>
        <w:t>教学重点</w:t>
      </w:r>
    </w:p>
    <w:p>
      <w:pPr>
        <w:autoSpaceDE w:val="0"/>
        <w:autoSpaceDN w:val="0"/>
        <w:adjustRightInd w:val="0"/>
        <w:ind w:leftChars="400"/>
        <w:jc w:val="left"/>
        <w:rPr>
          <w:rFonts w:ascii="宋体" w:hAnsi="Tms Rmn" w:eastAsia="宋体" w:cs="Times New Roman"/>
          <w:kern w:val="0"/>
          <w:sz w:val="21"/>
          <w:szCs w:val="21"/>
        </w:rPr>
      </w:pPr>
      <w:r>
        <w:rPr>
          <w:rFonts w:hint="eastAsia" w:ascii="宋体" w:hAnsi="Tms Rmn" w:eastAsia="宋体" w:cs="Times New Roman"/>
          <w:kern w:val="0"/>
          <w:sz w:val="21"/>
          <w:szCs w:val="21"/>
        </w:rPr>
        <w:t>文书立卷范围：一、将同一拥有者的办毕文书收集齐全：1.收集的指导思想；2.收集的基本类型；3. 收集的时间尺度；4.收集的具体途径。二、划定本机关各分工立卷范围：根据机关档案室划定归档和不归档范围；根据各部门设置立卷点的状况划定机关内分工立卷范围；根据各自主要职能，在向同一档案馆移交档案的各机关间，就同一篇上级普发文划定社会分工立卷范围。三、编制归卷指南：1.筛选分类体系；2.拟写代卷条款；3.编列顺序代号。</w:t>
      </w:r>
    </w:p>
    <w:p>
      <w:pPr>
        <w:autoSpaceDE w:val="0"/>
        <w:autoSpaceDN w:val="0"/>
        <w:adjustRightInd w:val="0"/>
        <w:ind w:leftChars="400"/>
        <w:jc w:val="left"/>
        <w:rPr>
          <w:rFonts w:ascii="黑体" w:hAnsi="黑体" w:eastAsia="黑体" w:cs="Times New Roman"/>
          <w:kern w:val="0"/>
          <w:sz w:val="21"/>
          <w:szCs w:val="21"/>
        </w:rPr>
      </w:pPr>
      <w:r>
        <w:rPr>
          <w:rFonts w:hint="eastAsia" w:ascii="黑体" w:hAnsi="黑体" w:eastAsia="黑体" w:cs="Times New Roman"/>
          <w:kern w:val="0"/>
          <w:sz w:val="21"/>
          <w:szCs w:val="21"/>
        </w:rPr>
        <w:t>第十五章 文书归档</w:t>
      </w:r>
    </w:p>
    <w:p>
      <w:pPr>
        <w:autoSpaceDE w:val="0"/>
        <w:autoSpaceDN w:val="0"/>
        <w:adjustRightInd w:val="0"/>
        <w:ind w:leftChars="400"/>
        <w:jc w:val="left"/>
        <w:rPr>
          <w:rFonts w:ascii="宋体" w:hAnsi="Tms Rmn" w:eastAsia="宋体" w:cs="Times New Roman"/>
          <w:kern w:val="0"/>
          <w:sz w:val="21"/>
          <w:szCs w:val="21"/>
        </w:rPr>
      </w:pPr>
      <w:r>
        <w:rPr>
          <w:rFonts w:hint="eastAsia" w:ascii="宋体" w:hAnsi="Tms Rmn" w:eastAsia="宋体" w:cs="Times New Roman"/>
          <w:kern w:val="0"/>
          <w:sz w:val="21"/>
          <w:szCs w:val="21"/>
        </w:rPr>
        <w:t>1、教学内容</w:t>
      </w:r>
    </w:p>
    <w:p>
      <w:pPr>
        <w:autoSpaceDE w:val="0"/>
        <w:autoSpaceDN w:val="0"/>
        <w:adjustRightInd w:val="0"/>
        <w:ind w:leftChars="400"/>
        <w:jc w:val="left"/>
        <w:rPr>
          <w:rFonts w:ascii="宋体" w:hAnsi="Tms Rmn" w:eastAsia="宋体" w:cs="Times New Roman"/>
          <w:kern w:val="0"/>
          <w:sz w:val="21"/>
          <w:szCs w:val="21"/>
        </w:rPr>
      </w:pPr>
      <w:r>
        <w:rPr>
          <w:rFonts w:hint="eastAsia" w:ascii="宋体" w:hAnsi="Tms Rmn" w:eastAsia="宋体" w:cs="Times New Roman"/>
          <w:kern w:val="0"/>
          <w:sz w:val="21"/>
          <w:szCs w:val="21"/>
        </w:rPr>
        <w:t>一、文书之间有机联系与文书特征：文书在形成、运转、处理过程中，建立起相互制约、相互依存的内在关系，称为文书之间历史联系或文书之间有机联系。文书特征是从文书程式结构中所提炼基本要素的具体表现形式。文书共同特征是若干篇文书同一要素上的共同表现形式。 案卷特征，是具有共同特征的若干篇文书的范围扩大。“文书特征——文书共同特征——案卷特征”的演化实质，是在同一要素上具有相同表现形式的文书，数量范围之扩大。据此，在立卷中有意识地选择某一特征为凭藉，把具有相同特征的文书汇集起来，组合为案卷，就是运用特征立卷的原理。作为组合凭藉的这一特征，就称为立卷特征。二、保持文书之间联系与运用特征立卷：文书之间的内在有机联系遵循工作活动本身联系而自然建立。故而，从文书之间内在联系赖以建立的前提条件入手，了解立卷机关的权限、地位、工作程序，认清职能活动范围，掌握有关业务（或专业）知识，熟悉每一项工作的前因后果和发展延续过程，就能对文书之间联系的状况取得正确认识并用于指导立卷，使组卷结果符合客观实际。这是保持文书之间联系的一般规律。六个特征立卷方法是，从作者（或者通讯者）、时间、地区、问题、名称六个特征中，每次灵活选择几个特征结合起来运用，以分别适应一组组文书内各自的实际联系状况，调整组合为一个个案卷的立卷方法。三、每一特征的具体运用：问题特征运用于文书立卷的客观依据；按作者特征立卷可反映卷内文书的重要性，并使价值趋于一致；通讯者特征在立卷中的运用往往以问题特征的运用为基础；名称特征运用于立卷的依据；时间特征有泛指、专指两方面含义；将内容涉及同一地域范围的文书汇集成卷，可以集中反映该地区基本概貌、工作进展或有关问题的处理情况。地区特征在立卷实践中极少运用的原因。</w:t>
      </w:r>
    </w:p>
    <w:p>
      <w:pPr>
        <w:pStyle w:val="13"/>
        <w:numPr>
          <w:ilvl w:val="0"/>
          <w:numId w:val="3"/>
        </w:numPr>
        <w:ind w:leftChars="400" w:firstLineChars="0"/>
        <w:jc w:val="left"/>
        <w:rPr>
          <w:sz w:val="21"/>
          <w:szCs w:val="21"/>
        </w:rPr>
      </w:pPr>
      <w:r>
        <w:rPr>
          <w:rFonts w:hint="eastAsia"/>
          <w:sz w:val="21"/>
          <w:szCs w:val="21"/>
        </w:rPr>
        <w:t>教学重点</w:t>
      </w:r>
    </w:p>
    <w:p>
      <w:pPr>
        <w:autoSpaceDE w:val="0"/>
        <w:autoSpaceDN w:val="0"/>
        <w:adjustRightInd w:val="0"/>
        <w:ind w:leftChars="400"/>
        <w:jc w:val="left"/>
        <w:rPr>
          <w:rFonts w:ascii="宋体" w:hAnsi="Tms Rmn" w:eastAsia="宋体" w:cs="Times New Roman"/>
          <w:kern w:val="0"/>
          <w:sz w:val="21"/>
          <w:szCs w:val="21"/>
        </w:rPr>
      </w:pPr>
      <w:r>
        <w:rPr>
          <w:rFonts w:hint="eastAsia" w:ascii="宋体" w:hAnsi="Tms Rmn" w:eastAsia="宋体" w:cs="Times New Roman"/>
          <w:kern w:val="0"/>
          <w:sz w:val="21"/>
          <w:szCs w:val="21"/>
        </w:rPr>
        <w:t>文书组卷阶段：1.平时归卷或五步分开成组。立卷人员将办毕的单篇文书，随时归入相关预计案卷（即卷具所载条款）范围内，称为“平时归卷”。实施平时归卷的优越性。2.年终调整成卷。联系、价值、数量，是实际决定案卷组合状况的三个关键要素。年终调整的具体内容也就是这三个方面：调整组与组之间的交叉文书以保持联系；调整组内不同价值文书以规定统一的保管期限；调整各组文书篇数以均衡案卷容量。</w:t>
      </w:r>
    </w:p>
    <w:p>
      <w:pPr>
        <w:autoSpaceDE w:val="0"/>
        <w:autoSpaceDN w:val="0"/>
        <w:adjustRightInd w:val="0"/>
        <w:ind w:leftChars="400"/>
        <w:jc w:val="left"/>
        <w:rPr>
          <w:rFonts w:ascii="黑体" w:hAnsi="黑体" w:eastAsia="黑体" w:cs="Times New Roman"/>
          <w:kern w:val="0"/>
          <w:sz w:val="21"/>
          <w:szCs w:val="21"/>
        </w:rPr>
      </w:pPr>
      <w:r>
        <w:rPr>
          <w:rFonts w:hint="eastAsia" w:ascii="黑体" w:hAnsi="黑体" w:eastAsia="黑体" w:cs="Times New Roman"/>
          <w:kern w:val="0"/>
          <w:sz w:val="21"/>
          <w:szCs w:val="21"/>
        </w:rPr>
        <w:t>第十六章 复习与答疑</w:t>
      </w:r>
    </w:p>
    <w:p>
      <w:pPr>
        <w:pStyle w:val="13"/>
        <w:numPr>
          <w:ilvl w:val="0"/>
          <w:numId w:val="5"/>
        </w:numPr>
        <w:ind w:leftChars="400" w:firstLineChars="0"/>
        <w:jc w:val="left"/>
        <w:rPr>
          <w:sz w:val="21"/>
          <w:szCs w:val="21"/>
        </w:rPr>
      </w:pPr>
      <w:r>
        <w:rPr>
          <w:rFonts w:hint="eastAsia"/>
          <w:sz w:val="21"/>
          <w:szCs w:val="21"/>
        </w:rPr>
        <w:t>教学内容</w:t>
      </w:r>
    </w:p>
    <w:p>
      <w:pPr>
        <w:autoSpaceDE w:val="0"/>
        <w:autoSpaceDN w:val="0"/>
        <w:adjustRightInd w:val="0"/>
        <w:ind w:leftChars="400"/>
        <w:jc w:val="left"/>
        <w:rPr>
          <w:rFonts w:ascii="宋体" w:hAnsi="Tms Rmn" w:eastAsia="宋体" w:cs="Times New Roman"/>
          <w:kern w:val="0"/>
          <w:sz w:val="21"/>
          <w:szCs w:val="21"/>
        </w:rPr>
      </w:pPr>
      <w:r>
        <w:rPr>
          <w:rFonts w:hint="eastAsia" w:ascii="宋体" w:hAnsi="Tms Rmn" w:eastAsia="宋体" w:cs="Times New Roman"/>
          <w:kern w:val="0"/>
          <w:sz w:val="21"/>
          <w:szCs w:val="21"/>
        </w:rPr>
        <w:t>复习本学期课程内容。</w:t>
      </w:r>
    </w:p>
    <w:p>
      <w:pPr>
        <w:pStyle w:val="13"/>
        <w:numPr>
          <w:ilvl w:val="0"/>
          <w:numId w:val="5"/>
        </w:numPr>
        <w:ind w:leftChars="400" w:firstLineChars="0"/>
        <w:jc w:val="left"/>
        <w:rPr>
          <w:sz w:val="21"/>
          <w:szCs w:val="21"/>
        </w:rPr>
      </w:pPr>
      <w:r>
        <w:rPr>
          <w:rFonts w:hint="eastAsia"/>
          <w:sz w:val="21"/>
          <w:szCs w:val="21"/>
        </w:rPr>
        <w:t>教学重点</w:t>
      </w:r>
    </w:p>
    <w:p>
      <w:pPr>
        <w:autoSpaceDE w:val="0"/>
        <w:autoSpaceDN w:val="0"/>
        <w:adjustRightInd w:val="0"/>
        <w:ind w:leftChars="400"/>
        <w:jc w:val="left"/>
        <w:rPr>
          <w:rFonts w:ascii="宋体" w:hAnsi="Tms Rmn" w:eastAsia="宋体" w:cs="Times New Roman"/>
          <w:kern w:val="0"/>
          <w:sz w:val="21"/>
          <w:szCs w:val="21"/>
        </w:rPr>
      </w:pPr>
      <w:r>
        <w:rPr>
          <w:rFonts w:hint="eastAsia" w:ascii="宋体" w:hAnsi="Tms Rmn" w:eastAsia="宋体" w:cs="Times New Roman"/>
          <w:kern w:val="0"/>
          <w:sz w:val="21"/>
          <w:szCs w:val="21"/>
        </w:rPr>
        <w:t>解答学生疑难问题。</w:t>
      </w:r>
    </w:p>
    <w:p>
      <w:pPr>
        <w:autoSpaceDE w:val="0"/>
        <w:autoSpaceDN w:val="0"/>
        <w:adjustRightInd w:val="0"/>
        <w:jc w:val="left"/>
        <w:rPr>
          <w:rFonts w:ascii="宋体" w:hAnsi="Tms Rmn" w:eastAsia="宋体" w:cs="Times New Roman"/>
          <w:kern w:val="0"/>
          <w:sz w:val="21"/>
          <w:szCs w:val="21"/>
        </w:rPr>
      </w:pPr>
    </w:p>
    <w:p>
      <w:pPr>
        <w:widowControl/>
        <w:spacing w:before="156" w:beforeLines="50" w:after="156" w:afterLines="50"/>
        <w:ind w:firstLine="562" w:firstLineChars="200"/>
        <w:jc w:val="left"/>
      </w:pPr>
      <w:r>
        <w:rPr>
          <w:rFonts w:hint="eastAsia" w:ascii="黑体" w:hAnsi="黑体" w:eastAsia="黑体"/>
          <w:b/>
          <w:sz w:val="28"/>
          <w:szCs w:val="28"/>
        </w:rPr>
        <w:t>四、学时分配</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2400"/>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shd w:val="clear" w:color="auto" w:fill="auto"/>
          </w:tcPr>
          <w:p>
            <w:pPr>
              <w:autoSpaceDE w:val="0"/>
              <w:autoSpaceDN w:val="0"/>
              <w:adjustRightInd w:val="0"/>
              <w:snapToGrid w:val="0"/>
              <w:jc w:val="center"/>
              <w:rPr>
                <w:rFonts w:hint="eastAsia" w:ascii="黑体" w:hAnsi="Times New Roman" w:eastAsia="黑体" w:cs="Times New Roman"/>
                <w:kern w:val="0"/>
                <w:sz w:val="21"/>
                <w:szCs w:val="20"/>
              </w:rPr>
            </w:pPr>
            <w:r>
              <w:rPr>
                <w:rFonts w:hint="eastAsia" w:ascii="Times New Roman" w:hAnsi="Times New Roman" w:eastAsia="宋体" w:cs="Times New Roman"/>
                <w:kern w:val="0"/>
                <w:sz w:val="21"/>
                <w:szCs w:val="20"/>
              </w:rPr>
              <w:t xml:space="preserve">  </w:t>
            </w:r>
            <w:r>
              <w:rPr>
                <w:rFonts w:hint="eastAsia" w:ascii="黑体" w:hAnsi="Times New Roman" w:eastAsia="黑体" w:cs="Times New Roman"/>
                <w:kern w:val="0"/>
                <w:sz w:val="21"/>
                <w:szCs w:val="20"/>
              </w:rPr>
              <w:t>章序号</w:t>
            </w:r>
          </w:p>
        </w:tc>
        <w:tc>
          <w:tcPr>
            <w:tcW w:w="2400" w:type="dxa"/>
            <w:shd w:val="clear" w:color="auto" w:fill="auto"/>
          </w:tcPr>
          <w:p>
            <w:pPr>
              <w:autoSpaceDE w:val="0"/>
              <w:autoSpaceDN w:val="0"/>
              <w:adjustRightInd w:val="0"/>
              <w:snapToGrid w:val="0"/>
              <w:jc w:val="center"/>
              <w:rPr>
                <w:rFonts w:hint="eastAsia" w:ascii="黑体" w:hAnsi="Times New Roman" w:eastAsia="黑体" w:cs="Times New Roman"/>
                <w:kern w:val="0"/>
                <w:sz w:val="21"/>
                <w:szCs w:val="20"/>
              </w:rPr>
            </w:pPr>
            <w:r>
              <w:rPr>
                <w:rFonts w:hint="eastAsia" w:ascii="黑体" w:hAnsi="Times New Roman" w:eastAsia="黑体" w:cs="Times New Roman"/>
                <w:kern w:val="0"/>
                <w:sz w:val="21"/>
                <w:szCs w:val="20"/>
              </w:rPr>
              <w:t>章内容</w:t>
            </w:r>
          </w:p>
        </w:tc>
        <w:tc>
          <w:tcPr>
            <w:tcW w:w="2280" w:type="dxa"/>
            <w:shd w:val="clear" w:color="auto" w:fill="auto"/>
          </w:tcPr>
          <w:p>
            <w:pPr>
              <w:autoSpaceDE w:val="0"/>
              <w:autoSpaceDN w:val="0"/>
              <w:adjustRightInd w:val="0"/>
              <w:snapToGrid w:val="0"/>
              <w:jc w:val="center"/>
              <w:rPr>
                <w:rFonts w:hint="eastAsia" w:ascii="黑体" w:hAnsi="Times New Roman" w:eastAsia="黑体" w:cs="Times New Roman"/>
                <w:kern w:val="0"/>
                <w:sz w:val="21"/>
                <w:szCs w:val="20"/>
              </w:rPr>
            </w:pPr>
            <w:r>
              <w:rPr>
                <w:rFonts w:hint="eastAsia" w:ascii="黑体" w:hAnsi="Times New Roman" w:eastAsia="黑体" w:cs="Times New Roman"/>
                <w:kern w:val="0"/>
                <w:sz w:val="21"/>
                <w:szCs w:val="20"/>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shd w:val="clear" w:color="auto" w:fill="auto"/>
          </w:tcPr>
          <w:p>
            <w:pPr>
              <w:autoSpaceDE w:val="0"/>
              <w:autoSpaceDN w:val="0"/>
              <w:adjustRightInd w:val="0"/>
              <w:snapToGrid w:val="0"/>
              <w:jc w:val="center"/>
              <w:rPr>
                <w:rFonts w:hint="eastAsia" w:ascii="黑体" w:hAnsi="Times New Roman" w:eastAsia="黑体" w:cs="Times New Roman"/>
                <w:kern w:val="0"/>
                <w:sz w:val="21"/>
                <w:szCs w:val="20"/>
              </w:rPr>
            </w:pPr>
            <w:r>
              <w:rPr>
                <w:rFonts w:hint="eastAsia" w:ascii="黑体" w:hAnsi="Times New Roman" w:eastAsia="黑体" w:cs="Times New Roman"/>
                <w:kern w:val="0"/>
                <w:sz w:val="21"/>
                <w:szCs w:val="20"/>
              </w:rPr>
              <w:t>一</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jc w:val="left"/>
              <w:rPr>
                <w:rFonts w:ascii="黑体" w:hAnsi="Times New Roman" w:eastAsia="黑体" w:cs="Times New Roman"/>
                <w:kern w:val="0"/>
                <w:sz w:val="21"/>
                <w:szCs w:val="20"/>
              </w:rPr>
            </w:pPr>
            <w:r>
              <w:rPr>
                <w:rFonts w:hint="eastAsia" w:ascii="黑体" w:hAnsi="Times New Roman" w:eastAsia="黑体" w:cs="Times New Roman"/>
                <w:kern w:val="0"/>
                <w:sz w:val="21"/>
                <w:szCs w:val="20"/>
              </w:rPr>
              <w:t>文书与公文</w:t>
            </w:r>
          </w:p>
        </w:tc>
        <w:tc>
          <w:tcPr>
            <w:tcW w:w="2280" w:type="dxa"/>
            <w:shd w:val="clear" w:color="auto" w:fill="auto"/>
          </w:tcPr>
          <w:p>
            <w:pPr>
              <w:autoSpaceDE w:val="0"/>
              <w:autoSpaceDN w:val="0"/>
              <w:adjustRightInd w:val="0"/>
              <w:snapToGrid w:val="0"/>
              <w:jc w:val="center"/>
              <w:rPr>
                <w:rFonts w:hint="eastAsia" w:ascii="黑体" w:hAnsi="Times New Roman" w:eastAsia="黑体" w:cs="Times New Roman"/>
                <w:kern w:val="0"/>
                <w:sz w:val="21"/>
                <w:szCs w:val="20"/>
              </w:rPr>
            </w:pPr>
            <w:r>
              <w:rPr>
                <w:rFonts w:hint="eastAsia" w:ascii="黑体" w:hAnsi="Times New Roman" w:eastAsia="黑体" w:cs="Times New Roman"/>
                <w:kern w:val="0"/>
                <w:sz w:val="21"/>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shd w:val="clear" w:color="auto" w:fill="auto"/>
          </w:tcPr>
          <w:p>
            <w:pPr>
              <w:autoSpaceDE w:val="0"/>
              <w:autoSpaceDN w:val="0"/>
              <w:adjustRightInd w:val="0"/>
              <w:snapToGrid w:val="0"/>
              <w:jc w:val="center"/>
              <w:rPr>
                <w:rFonts w:hint="eastAsia" w:ascii="黑体" w:hAnsi="Times New Roman" w:eastAsia="黑体" w:cs="Times New Roman"/>
                <w:kern w:val="0"/>
                <w:sz w:val="21"/>
                <w:szCs w:val="20"/>
              </w:rPr>
            </w:pPr>
            <w:r>
              <w:rPr>
                <w:rFonts w:hint="eastAsia" w:ascii="黑体" w:hAnsi="Times New Roman" w:eastAsia="黑体" w:cs="Times New Roman"/>
                <w:kern w:val="0"/>
                <w:sz w:val="21"/>
                <w:szCs w:val="20"/>
              </w:rPr>
              <w:t>二</w:t>
            </w:r>
          </w:p>
        </w:tc>
        <w:tc>
          <w:tcPr>
            <w:tcW w:w="2400" w:type="dxa"/>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jc w:val="left"/>
              <w:rPr>
                <w:rFonts w:hint="eastAsia" w:ascii="黑体" w:hAnsi="Times New Roman" w:eastAsia="黑体" w:cs="Times New Roman"/>
                <w:kern w:val="0"/>
                <w:sz w:val="21"/>
                <w:szCs w:val="20"/>
              </w:rPr>
            </w:pPr>
            <w:r>
              <w:rPr>
                <w:rFonts w:hint="eastAsia" w:ascii="黑体" w:hAnsi="Times New Roman" w:eastAsia="黑体" w:cs="Times New Roman"/>
                <w:kern w:val="0"/>
                <w:sz w:val="21"/>
                <w:szCs w:val="20"/>
              </w:rPr>
              <w:t>公文史</w:t>
            </w:r>
          </w:p>
        </w:tc>
        <w:tc>
          <w:tcPr>
            <w:tcW w:w="2280" w:type="dxa"/>
            <w:shd w:val="clear" w:color="auto" w:fill="auto"/>
          </w:tcPr>
          <w:p>
            <w:pPr>
              <w:autoSpaceDE w:val="0"/>
              <w:autoSpaceDN w:val="0"/>
              <w:adjustRightInd w:val="0"/>
              <w:jc w:val="center"/>
              <w:rPr>
                <w:rFonts w:ascii="宋体" w:hAnsi="Tms Rmn" w:eastAsia="宋体" w:cs="Times New Roman"/>
                <w:kern w:val="0"/>
                <w:sz w:val="20"/>
                <w:szCs w:val="20"/>
              </w:rPr>
            </w:pPr>
            <w:r>
              <w:rPr>
                <w:rFonts w:hint="eastAsia" w:ascii="黑体" w:hAnsi="Times New Roman" w:eastAsia="黑体" w:cs="Times New Roman"/>
                <w:kern w:val="0"/>
                <w:sz w:val="21"/>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shd w:val="clear" w:color="auto" w:fill="auto"/>
          </w:tcPr>
          <w:p>
            <w:pPr>
              <w:autoSpaceDE w:val="0"/>
              <w:autoSpaceDN w:val="0"/>
              <w:adjustRightInd w:val="0"/>
              <w:snapToGrid w:val="0"/>
              <w:jc w:val="center"/>
              <w:rPr>
                <w:rFonts w:hint="eastAsia" w:ascii="黑体" w:hAnsi="Times New Roman" w:eastAsia="黑体" w:cs="Times New Roman"/>
                <w:kern w:val="0"/>
                <w:sz w:val="21"/>
                <w:szCs w:val="20"/>
              </w:rPr>
            </w:pPr>
            <w:r>
              <w:rPr>
                <w:rFonts w:hint="eastAsia" w:ascii="黑体" w:hAnsi="Times New Roman" w:eastAsia="黑体" w:cs="Times New Roman"/>
                <w:kern w:val="0"/>
                <w:sz w:val="21"/>
                <w:szCs w:val="20"/>
              </w:rPr>
              <w:t>三</w:t>
            </w:r>
          </w:p>
        </w:tc>
        <w:tc>
          <w:tcPr>
            <w:tcW w:w="2400" w:type="dxa"/>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jc w:val="left"/>
              <w:rPr>
                <w:rFonts w:hint="eastAsia" w:ascii="黑体" w:hAnsi="Times New Roman" w:eastAsia="黑体" w:cs="Times New Roman"/>
                <w:kern w:val="0"/>
                <w:sz w:val="21"/>
                <w:szCs w:val="20"/>
              </w:rPr>
            </w:pPr>
            <w:r>
              <w:rPr>
                <w:rFonts w:hint="eastAsia" w:ascii="黑体" w:hAnsi="Times New Roman" w:eastAsia="黑体" w:cs="Times New Roman"/>
                <w:kern w:val="0"/>
                <w:sz w:val="21"/>
                <w:szCs w:val="20"/>
              </w:rPr>
              <w:t>文书工作（一）</w:t>
            </w:r>
          </w:p>
        </w:tc>
        <w:tc>
          <w:tcPr>
            <w:tcW w:w="2280" w:type="dxa"/>
            <w:shd w:val="clear" w:color="auto" w:fill="auto"/>
          </w:tcPr>
          <w:p>
            <w:pPr>
              <w:autoSpaceDE w:val="0"/>
              <w:autoSpaceDN w:val="0"/>
              <w:adjustRightInd w:val="0"/>
              <w:jc w:val="center"/>
              <w:rPr>
                <w:rFonts w:ascii="宋体" w:hAnsi="Tms Rmn" w:eastAsia="宋体" w:cs="Times New Roman"/>
                <w:kern w:val="0"/>
                <w:sz w:val="20"/>
                <w:szCs w:val="20"/>
              </w:rPr>
            </w:pPr>
            <w:r>
              <w:rPr>
                <w:rFonts w:hint="eastAsia" w:ascii="黑体" w:hAnsi="Times New Roman" w:eastAsia="黑体" w:cs="Times New Roman"/>
                <w:kern w:val="0"/>
                <w:sz w:val="21"/>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shd w:val="clear" w:color="auto" w:fill="auto"/>
          </w:tcPr>
          <w:p>
            <w:pPr>
              <w:autoSpaceDE w:val="0"/>
              <w:autoSpaceDN w:val="0"/>
              <w:adjustRightInd w:val="0"/>
              <w:snapToGrid w:val="0"/>
              <w:jc w:val="center"/>
              <w:rPr>
                <w:rFonts w:hint="eastAsia" w:ascii="黑体" w:hAnsi="Times New Roman" w:eastAsia="黑体" w:cs="Times New Roman"/>
                <w:kern w:val="0"/>
                <w:sz w:val="21"/>
                <w:szCs w:val="20"/>
              </w:rPr>
            </w:pPr>
            <w:r>
              <w:rPr>
                <w:rFonts w:hint="eastAsia" w:ascii="黑体" w:hAnsi="Times New Roman" w:eastAsia="黑体" w:cs="Times New Roman"/>
                <w:kern w:val="0"/>
                <w:sz w:val="21"/>
                <w:szCs w:val="20"/>
              </w:rPr>
              <w:t>四</w:t>
            </w:r>
          </w:p>
        </w:tc>
        <w:tc>
          <w:tcPr>
            <w:tcW w:w="2400" w:type="dxa"/>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jc w:val="left"/>
              <w:rPr>
                <w:rFonts w:hint="eastAsia" w:ascii="黑体" w:hAnsi="Times New Roman" w:eastAsia="黑体" w:cs="Times New Roman"/>
                <w:kern w:val="0"/>
                <w:sz w:val="21"/>
                <w:szCs w:val="20"/>
              </w:rPr>
            </w:pPr>
            <w:r>
              <w:rPr>
                <w:rFonts w:hint="eastAsia" w:ascii="黑体" w:hAnsi="Times New Roman" w:eastAsia="黑体" w:cs="Times New Roman"/>
                <w:kern w:val="0"/>
                <w:sz w:val="21"/>
                <w:szCs w:val="20"/>
              </w:rPr>
              <w:t>文书工作（二）</w:t>
            </w:r>
          </w:p>
        </w:tc>
        <w:tc>
          <w:tcPr>
            <w:tcW w:w="2280" w:type="dxa"/>
            <w:shd w:val="clear" w:color="auto" w:fill="auto"/>
          </w:tcPr>
          <w:p>
            <w:pPr>
              <w:autoSpaceDE w:val="0"/>
              <w:autoSpaceDN w:val="0"/>
              <w:adjustRightInd w:val="0"/>
              <w:jc w:val="center"/>
              <w:rPr>
                <w:rFonts w:ascii="宋体" w:hAnsi="Tms Rmn" w:eastAsia="宋体" w:cs="Times New Roman"/>
                <w:kern w:val="0"/>
                <w:sz w:val="20"/>
                <w:szCs w:val="20"/>
              </w:rPr>
            </w:pPr>
            <w:r>
              <w:rPr>
                <w:rFonts w:hint="eastAsia" w:ascii="黑体" w:hAnsi="Times New Roman" w:eastAsia="黑体" w:cs="Times New Roman"/>
                <w:kern w:val="0"/>
                <w:sz w:val="21"/>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shd w:val="clear" w:color="auto" w:fill="auto"/>
          </w:tcPr>
          <w:p>
            <w:pPr>
              <w:autoSpaceDE w:val="0"/>
              <w:autoSpaceDN w:val="0"/>
              <w:adjustRightInd w:val="0"/>
              <w:snapToGrid w:val="0"/>
              <w:jc w:val="center"/>
              <w:rPr>
                <w:rFonts w:hint="eastAsia" w:ascii="黑体" w:hAnsi="Times New Roman" w:eastAsia="黑体" w:cs="Times New Roman"/>
                <w:kern w:val="0"/>
                <w:sz w:val="21"/>
                <w:szCs w:val="20"/>
              </w:rPr>
            </w:pPr>
            <w:r>
              <w:rPr>
                <w:rFonts w:hint="eastAsia" w:ascii="黑体" w:hAnsi="Times New Roman" w:eastAsia="黑体" w:cs="Times New Roman"/>
                <w:kern w:val="0"/>
                <w:sz w:val="21"/>
                <w:szCs w:val="20"/>
              </w:rPr>
              <w:t>五</w:t>
            </w:r>
          </w:p>
        </w:tc>
        <w:tc>
          <w:tcPr>
            <w:tcW w:w="2400" w:type="dxa"/>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jc w:val="left"/>
              <w:rPr>
                <w:rFonts w:hint="eastAsia" w:ascii="黑体" w:hAnsi="Times New Roman" w:eastAsia="黑体" w:cs="Times New Roman"/>
                <w:kern w:val="0"/>
                <w:sz w:val="21"/>
                <w:szCs w:val="20"/>
              </w:rPr>
            </w:pPr>
            <w:r>
              <w:rPr>
                <w:rFonts w:hint="eastAsia" w:ascii="黑体" w:hAnsi="Times New Roman" w:eastAsia="黑体" w:cs="Times New Roman"/>
                <w:kern w:val="0"/>
                <w:sz w:val="21"/>
                <w:szCs w:val="20"/>
              </w:rPr>
              <w:t>文书学</w:t>
            </w:r>
          </w:p>
        </w:tc>
        <w:tc>
          <w:tcPr>
            <w:tcW w:w="2280" w:type="dxa"/>
            <w:shd w:val="clear" w:color="auto" w:fill="auto"/>
          </w:tcPr>
          <w:p>
            <w:pPr>
              <w:autoSpaceDE w:val="0"/>
              <w:autoSpaceDN w:val="0"/>
              <w:adjustRightInd w:val="0"/>
              <w:jc w:val="center"/>
              <w:rPr>
                <w:rFonts w:ascii="宋体" w:hAnsi="Tms Rmn" w:eastAsia="宋体" w:cs="Times New Roman"/>
                <w:kern w:val="0"/>
                <w:sz w:val="20"/>
                <w:szCs w:val="20"/>
              </w:rPr>
            </w:pPr>
            <w:r>
              <w:rPr>
                <w:rFonts w:hint="eastAsia" w:ascii="黑体" w:hAnsi="Times New Roman" w:eastAsia="黑体" w:cs="Times New Roman"/>
                <w:kern w:val="0"/>
                <w:sz w:val="21"/>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shd w:val="clear" w:color="auto" w:fill="auto"/>
          </w:tcPr>
          <w:p>
            <w:pPr>
              <w:autoSpaceDE w:val="0"/>
              <w:autoSpaceDN w:val="0"/>
              <w:adjustRightInd w:val="0"/>
              <w:snapToGrid w:val="0"/>
              <w:jc w:val="center"/>
              <w:rPr>
                <w:rFonts w:hint="eastAsia" w:ascii="黑体" w:hAnsi="Times New Roman" w:eastAsia="黑体" w:cs="Times New Roman"/>
                <w:kern w:val="0"/>
                <w:sz w:val="21"/>
                <w:szCs w:val="20"/>
              </w:rPr>
            </w:pPr>
            <w:r>
              <w:rPr>
                <w:rFonts w:hint="eastAsia" w:ascii="黑体" w:hAnsi="Times New Roman" w:eastAsia="黑体" w:cs="Times New Roman"/>
                <w:kern w:val="0"/>
                <w:sz w:val="21"/>
                <w:szCs w:val="20"/>
              </w:rPr>
              <w:t>六</w:t>
            </w:r>
          </w:p>
        </w:tc>
        <w:tc>
          <w:tcPr>
            <w:tcW w:w="2400" w:type="dxa"/>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jc w:val="left"/>
              <w:rPr>
                <w:rFonts w:hint="eastAsia" w:ascii="黑体" w:hAnsi="Times New Roman" w:eastAsia="黑体" w:cs="Times New Roman"/>
                <w:kern w:val="0"/>
                <w:sz w:val="21"/>
                <w:szCs w:val="20"/>
              </w:rPr>
            </w:pPr>
            <w:r>
              <w:rPr>
                <w:rFonts w:hint="eastAsia" w:ascii="黑体" w:hAnsi="Times New Roman" w:eastAsia="黑体" w:cs="Times New Roman"/>
                <w:kern w:val="0"/>
                <w:sz w:val="21"/>
                <w:szCs w:val="20"/>
              </w:rPr>
              <w:t>公文写作</w:t>
            </w:r>
          </w:p>
        </w:tc>
        <w:tc>
          <w:tcPr>
            <w:tcW w:w="2280" w:type="dxa"/>
            <w:shd w:val="clear" w:color="auto" w:fill="auto"/>
          </w:tcPr>
          <w:p>
            <w:pPr>
              <w:autoSpaceDE w:val="0"/>
              <w:autoSpaceDN w:val="0"/>
              <w:adjustRightInd w:val="0"/>
              <w:jc w:val="center"/>
              <w:rPr>
                <w:rFonts w:ascii="宋体" w:hAnsi="Tms Rmn" w:eastAsia="宋体" w:cs="Times New Roman"/>
                <w:kern w:val="0"/>
                <w:sz w:val="20"/>
                <w:szCs w:val="20"/>
              </w:rPr>
            </w:pPr>
            <w:r>
              <w:rPr>
                <w:rFonts w:hint="eastAsia" w:ascii="黑体" w:hAnsi="Times New Roman" w:eastAsia="黑体" w:cs="Times New Roman"/>
                <w:kern w:val="0"/>
                <w:sz w:val="21"/>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shd w:val="clear" w:color="auto" w:fill="auto"/>
          </w:tcPr>
          <w:p>
            <w:pPr>
              <w:autoSpaceDE w:val="0"/>
              <w:autoSpaceDN w:val="0"/>
              <w:adjustRightInd w:val="0"/>
              <w:snapToGrid w:val="0"/>
              <w:jc w:val="center"/>
              <w:rPr>
                <w:rFonts w:hint="eastAsia" w:ascii="黑体" w:hAnsi="Times New Roman" w:eastAsia="黑体" w:cs="Times New Roman"/>
                <w:kern w:val="0"/>
                <w:sz w:val="21"/>
                <w:szCs w:val="20"/>
              </w:rPr>
            </w:pPr>
            <w:r>
              <w:rPr>
                <w:rFonts w:hint="eastAsia" w:ascii="黑体" w:hAnsi="Times New Roman" w:eastAsia="黑体" w:cs="Times New Roman"/>
                <w:kern w:val="0"/>
                <w:sz w:val="21"/>
                <w:szCs w:val="20"/>
              </w:rPr>
              <w:t>七</w:t>
            </w:r>
          </w:p>
        </w:tc>
        <w:tc>
          <w:tcPr>
            <w:tcW w:w="2400" w:type="dxa"/>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jc w:val="left"/>
              <w:rPr>
                <w:rFonts w:hint="eastAsia" w:ascii="黑体" w:hAnsi="Times New Roman" w:eastAsia="黑体" w:cs="Times New Roman"/>
                <w:kern w:val="0"/>
                <w:sz w:val="21"/>
                <w:szCs w:val="20"/>
              </w:rPr>
            </w:pPr>
            <w:r>
              <w:rPr>
                <w:rFonts w:hint="eastAsia" w:ascii="黑体" w:hAnsi="Times New Roman" w:eastAsia="黑体" w:cs="Times New Roman"/>
                <w:kern w:val="0"/>
                <w:sz w:val="21"/>
                <w:szCs w:val="20"/>
              </w:rPr>
              <w:t>公文用语</w:t>
            </w:r>
          </w:p>
        </w:tc>
        <w:tc>
          <w:tcPr>
            <w:tcW w:w="2280" w:type="dxa"/>
            <w:shd w:val="clear" w:color="auto" w:fill="auto"/>
          </w:tcPr>
          <w:p>
            <w:pPr>
              <w:autoSpaceDE w:val="0"/>
              <w:autoSpaceDN w:val="0"/>
              <w:adjustRightInd w:val="0"/>
              <w:jc w:val="center"/>
              <w:rPr>
                <w:rFonts w:ascii="宋体" w:hAnsi="Tms Rmn" w:eastAsia="宋体" w:cs="Times New Roman"/>
                <w:kern w:val="0"/>
                <w:sz w:val="20"/>
                <w:szCs w:val="20"/>
              </w:rPr>
            </w:pPr>
            <w:r>
              <w:rPr>
                <w:rFonts w:hint="eastAsia" w:ascii="黑体" w:hAnsi="Times New Roman" w:eastAsia="黑体" w:cs="Times New Roman"/>
                <w:kern w:val="0"/>
                <w:sz w:val="21"/>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shd w:val="clear" w:color="auto" w:fill="auto"/>
          </w:tcPr>
          <w:p>
            <w:pPr>
              <w:autoSpaceDE w:val="0"/>
              <w:autoSpaceDN w:val="0"/>
              <w:adjustRightInd w:val="0"/>
              <w:snapToGrid w:val="0"/>
              <w:jc w:val="center"/>
              <w:rPr>
                <w:rFonts w:hint="eastAsia" w:ascii="黑体" w:hAnsi="Times New Roman" w:eastAsia="黑体" w:cs="Times New Roman"/>
                <w:kern w:val="0"/>
                <w:sz w:val="21"/>
                <w:szCs w:val="20"/>
              </w:rPr>
            </w:pPr>
            <w:r>
              <w:rPr>
                <w:rFonts w:hint="eastAsia" w:ascii="黑体" w:hAnsi="Times New Roman" w:eastAsia="黑体" w:cs="Times New Roman"/>
                <w:kern w:val="0"/>
                <w:sz w:val="21"/>
                <w:szCs w:val="20"/>
              </w:rPr>
              <w:t>八</w:t>
            </w:r>
          </w:p>
        </w:tc>
        <w:tc>
          <w:tcPr>
            <w:tcW w:w="2400" w:type="dxa"/>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jc w:val="left"/>
              <w:rPr>
                <w:rFonts w:hint="eastAsia" w:ascii="黑体" w:hAnsi="Times New Roman" w:eastAsia="黑体" w:cs="Times New Roman"/>
                <w:kern w:val="0"/>
                <w:sz w:val="21"/>
                <w:szCs w:val="20"/>
              </w:rPr>
            </w:pPr>
            <w:r>
              <w:rPr>
                <w:rFonts w:hint="eastAsia" w:ascii="黑体" w:hAnsi="Times New Roman" w:eastAsia="黑体" w:cs="Times New Roman"/>
                <w:kern w:val="0"/>
                <w:sz w:val="21"/>
                <w:szCs w:val="20"/>
              </w:rPr>
              <w:t>公文格式</w:t>
            </w:r>
          </w:p>
        </w:tc>
        <w:tc>
          <w:tcPr>
            <w:tcW w:w="2280" w:type="dxa"/>
            <w:shd w:val="clear" w:color="auto" w:fill="auto"/>
          </w:tcPr>
          <w:p>
            <w:pPr>
              <w:autoSpaceDE w:val="0"/>
              <w:autoSpaceDN w:val="0"/>
              <w:adjustRightInd w:val="0"/>
              <w:jc w:val="center"/>
              <w:rPr>
                <w:rFonts w:ascii="宋体" w:hAnsi="Tms Rmn" w:eastAsia="宋体" w:cs="Times New Roman"/>
                <w:kern w:val="0"/>
                <w:sz w:val="20"/>
                <w:szCs w:val="20"/>
              </w:rPr>
            </w:pPr>
            <w:r>
              <w:rPr>
                <w:rFonts w:hint="eastAsia" w:ascii="黑体" w:hAnsi="Times New Roman" w:eastAsia="黑体" w:cs="Times New Roman"/>
                <w:kern w:val="0"/>
                <w:sz w:val="21"/>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shd w:val="clear" w:color="auto" w:fill="auto"/>
          </w:tcPr>
          <w:p>
            <w:pPr>
              <w:autoSpaceDE w:val="0"/>
              <w:autoSpaceDN w:val="0"/>
              <w:adjustRightInd w:val="0"/>
              <w:snapToGrid w:val="0"/>
              <w:jc w:val="center"/>
              <w:rPr>
                <w:rFonts w:hint="eastAsia" w:ascii="黑体" w:hAnsi="Times New Roman" w:eastAsia="黑体" w:cs="Times New Roman"/>
                <w:kern w:val="0"/>
                <w:sz w:val="21"/>
                <w:szCs w:val="20"/>
              </w:rPr>
            </w:pPr>
            <w:r>
              <w:rPr>
                <w:rFonts w:hint="eastAsia" w:ascii="黑体" w:hAnsi="Times New Roman" w:eastAsia="黑体" w:cs="Times New Roman"/>
                <w:kern w:val="0"/>
                <w:sz w:val="21"/>
                <w:szCs w:val="20"/>
              </w:rPr>
              <w:t>九</w:t>
            </w:r>
          </w:p>
        </w:tc>
        <w:tc>
          <w:tcPr>
            <w:tcW w:w="2400" w:type="dxa"/>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jc w:val="left"/>
              <w:rPr>
                <w:rFonts w:hint="eastAsia" w:ascii="黑体" w:hAnsi="Times New Roman" w:eastAsia="黑体" w:cs="Times New Roman"/>
                <w:kern w:val="0"/>
                <w:sz w:val="21"/>
                <w:szCs w:val="20"/>
              </w:rPr>
            </w:pPr>
            <w:r>
              <w:rPr>
                <w:rFonts w:hint="eastAsia" w:ascii="黑体" w:hAnsi="Times New Roman" w:eastAsia="黑体" w:cs="Times New Roman"/>
                <w:kern w:val="0"/>
                <w:sz w:val="21"/>
                <w:szCs w:val="20"/>
              </w:rPr>
              <w:t>法定文件</w:t>
            </w:r>
          </w:p>
        </w:tc>
        <w:tc>
          <w:tcPr>
            <w:tcW w:w="2280" w:type="dxa"/>
            <w:shd w:val="clear" w:color="auto" w:fill="auto"/>
          </w:tcPr>
          <w:p>
            <w:pPr>
              <w:autoSpaceDE w:val="0"/>
              <w:autoSpaceDN w:val="0"/>
              <w:adjustRightInd w:val="0"/>
              <w:jc w:val="center"/>
              <w:rPr>
                <w:rFonts w:ascii="宋体" w:hAnsi="Tms Rmn" w:eastAsia="宋体" w:cs="Times New Roman"/>
                <w:kern w:val="0"/>
                <w:sz w:val="20"/>
                <w:szCs w:val="20"/>
              </w:rPr>
            </w:pPr>
            <w:r>
              <w:rPr>
                <w:rFonts w:hint="eastAsia" w:ascii="黑体" w:hAnsi="Times New Roman" w:eastAsia="黑体" w:cs="Times New Roman"/>
                <w:kern w:val="0"/>
                <w:sz w:val="21"/>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shd w:val="clear" w:color="auto" w:fill="auto"/>
          </w:tcPr>
          <w:p>
            <w:pPr>
              <w:autoSpaceDE w:val="0"/>
              <w:autoSpaceDN w:val="0"/>
              <w:adjustRightInd w:val="0"/>
              <w:snapToGrid w:val="0"/>
              <w:jc w:val="center"/>
              <w:rPr>
                <w:rFonts w:hint="eastAsia" w:ascii="黑体" w:hAnsi="Times New Roman" w:eastAsia="黑体" w:cs="Times New Roman"/>
                <w:kern w:val="0"/>
                <w:sz w:val="21"/>
                <w:szCs w:val="20"/>
              </w:rPr>
            </w:pPr>
            <w:r>
              <w:rPr>
                <w:rFonts w:hint="eastAsia" w:ascii="黑体" w:hAnsi="Times New Roman" w:eastAsia="黑体" w:cs="Times New Roman"/>
                <w:kern w:val="0"/>
                <w:sz w:val="21"/>
                <w:szCs w:val="20"/>
              </w:rPr>
              <w:t>十</w:t>
            </w:r>
          </w:p>
        </w:tc>
        <w:tc>
          <w:tcPr>
            <w:tcW w:w="2400" w:type="dxa"/>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jc w:val="left"/>
              <w:rPr>
                <w:rFonts w:hint="eastAsia" w:ascii="黑体" w:hAnsi="Times New Roman" w:eastAsia="黑体" w:cs="Times New Roman"/>
                <w:kern w:val="0"/>
                <w:sz w:val="21"/>
                <w:szCs w:val="20"/>
              </w:rPr>
            </w:pPr>
            <w:r>
              <w:rPr>
                <w:rFonts w:hint="eastAsia" w:ascii="黑体" w:hAnsi="Times New Roman" w:eastAsia="黑体" w:cs="Times New Roman"/>
                <w:kern w:val="0"/>
                <w:sz w:val="21"/>
                <w:szCs w:val="20"/>
              </w:rPr>
              <w:t>常用公文（一）</w:t>
            </w:r>
          </w:p>
        </w:tc>
        <w:tc>
          <w:tcPr>
            <w:tcW w:w="2280" w:type="dxa"/>
            <w:shd w:val="clear" w:color="auto" w:fill="auto"/>
          </w:tcPr>
          <w:p>
            <w:pPr>
              <w:autoSpaceDE w:val="0"/>
              <w:autoSpaceDN w:val="0"/>
              <w:adjustRightInd w:val="0"/>
              <w:jc w:val="center"/>
              <w:rPr>
                <w:rFonts w:ascii="宋体" w:hAnsi="Tms Rmn" w:eastAsia="宋体" w:cs="Times New Roman"/>
                <w:kern w:val="0"/>
                <w:sz w:val="20"/>
                <w:szCs w:val="20"/>
              </w:rPr>
            </w:pPr>
            <w:r>
              <w:rPr>
                <w:rFonts w:hint="eastAsia" w:ascii="黑体" w:hAnsi="Times New Roman" w:eastAsia="黑体" w:cs="Times New Roman"/>
                <w:kern w:val="0"/>
                <w:sz w:val="21"/>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shd w:val="clear" w:color="auto" w:fill="auto"/>
          </w:tcPr>
          <w:p>
            <w:pPr>
              <w:autoSpaceDE w:val="0"/>
              <w:autoSpaceDN w:val="0"/>
              <w:adjustRightInd w:val="0"/>
              <w:snapToGrid w:val="0"/>
              <w:jc w:val="center"/>
              <w:rPr>
                <w:rFonts w:hint="eastAsia" w:ascii="黑体" w:hAnsi="Times New Roman" w:eastAsia="黑体" w:cs="Times New Roman"/>
                <w:kern w:val="0"/>
                <w:sz w:val="21"/>
                <w:szCs w:val="20"/>
              </w:rPr>
            </w:pPr>
            <w:r>
              <w:rPr>
                <w:rFonts w:hint="eastAsia" w:ascii="黑体" w:hAnsi="Times New Roman" w:eastAsia="黑体" w:cs="Times New Roman"/>
                <w:kern w:val="0"/>
                <w:sz w:val="21"/>
                <w:szCs w:val="20"/>
              </w:rPr>
              <w:t>十一</w:t>
            </w:r>
          </w:p>
        </w:tc>
        <w:tc>
          <w:tcPr>
            <w:tcW w:w="2400" w:type="dxa"/>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jc w:val="left"/>
              <w:rPr>
                <w:rFonts w:hint="eastAsia" w:ascii="黑体" w:hAnsi="Times New Roman" w:eastAsia="黑体" w:cs="Times New Roman"/>
                <w:kern w:val="0"/>
                <w:sz w:val="21"/>
                <w:szCs w:val="20"/>
              </w:rPr>
            </w:pPr>
            <w:r>
              <w:rPr>
                <w:rFonts w:hint="eastAsia" w:ascii="黑体" w:hAnsi="Times New Roman" w:eastAsia="黑体" w:cs="Times New Roman"/>
                <w:kern w:val="0"/>
                <w:sz w:val="21"/>
                <w:szCs w:val="20"/>
              </w:rPr>
              <w:t>常用公文（二）</w:t>
            </w:r>
          </w:p>
        </w:tc>
        <w:tc>
          <w:tcPr>
            <w:tcW w:w="2280" w:type="dxa"/>
            <w:shd w:val="clear" w:color="auto" w:fill="auto"/>
          </w:tcPr>
          <w:p>
            <w:pPr>
              <w:autoSpaceDE w:val="0"/>
              <w:autoSpaceDN w:val="0"/>
              <w:adjustRightInd w:val="0"/>
              <w:jc w:val="center"/>
              <w:rPr>
                <w:rFonts w:ascii="宋体" w:hAnsi="Tms Rmn" w:eastAsia="宋体" w:cs="Times New Roman"/>
                <w:kern w:val="0"/>
                <w:sz w:val="20"/>
                <w:szCs w:val="20"/>
              </w:rPr>
            </w:pPr>
            <w:r>
              <w:rPr>
                <w:rFonts w:hint="eastAsia" w:ascii="黑体" w:hAnsi="Times New Roman" w:eastAsia="黑体" w:cs="Times New Roman"/>
                <w:kern w:val="0"/>
                <w:sz w:val="21"/>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bottom w:val="single" w:color="auto" w:sz="4" w:space="0"/>
            </w:tcBorders>
            <w:shd w:val="clear" w:color="auto" w:fill="auto"/>
          </w:tcPr>
          <w:p>
            <w:pPr>
              <w:autoSpaceDE w:val="0"/>
              <w:autoSpaceDN w:val="0"/>
              <w:adjustRightInd w:val="0"/>
              <w:snapToGrid w:val="0"/>
              <w:jc w:val="center"/>
              <w:rPr>
                <w:rFonts w:hint="eastAsia" w:ascii="黑体" w:hAnsi="Times New Roman" w:eastAsia="黑体" w:cs="Times New Roman"/>
                <w:kern w:val="0"/>
                <w:sz w:val="21"/>
                <w:szCs w:val="20"/>
              </w:rPr>
            </w:pPr>
            <w:r>
              <w:rPr>
                <w:rFonts w:hint="eastAsia" w:ascii="黑体" w:hAnsi="Times New Roman" w:eastAsia="黑体" w:cs="Times New Roman"/>
                <w:kern w:val="0"/>
                <w:sz w:val="21"/>
                <w:szCs w:val="20"/>
              </w:rPr>
              <w:t>十二</w:t>
            </w:r>
          </w:p>
        </w:tc>
        <w:tc>
          <w:tcPr>
            <w:tcW w:w="2400" w:type="dxa"/>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jc w:val="left"/>
              <w:rPr>
                <w:rFonts w:hint="eastAsia" w:ascii="黑体" w:hAnsi="Times New Roman" w:eastAsia="黑体" w:cs="Times New Roman"/>
                <w:kern w:val="0"/>
                <w:sz w:val="21"/>
                <w:szCs w:val="20"/>
              </w:rPr>
            </w:pPr>
            <w:r>
              <w:rPr>
                <w:rFonts w:hint="eastAsia" w:ascii="黑体" w:hAnsi="Times New Roman" w:eastAsia="黑体" w:cs="Times New Roman"/>
                <w:kern w:val="0"/>
                <w:sz w:val="21"/>
                <w:szCs w:val="20"/>
              </w:rPr>
              <w:t>发文处理</w:t>
            </w:r>
          </w:p>
        </w:tc>
        <w:tc>
          <w:tcPr>
            <w:tcW w:w="2280" w:type="dxa"/>
            <w:tcBorders>
              <w:bottom w:val="single" w:color="auto" w:sz="4" w:space="0"/>
            </w:tcBorders>
            <w:shd w:val="clear" w:color="auto" w:fill="auto"/>
          </w:tcPr>
          <w:p>
            <w:pPr>
              <w:autoSpaceDE w:val="0"/>
              <w:autoSpaceDN w:val="0"/>
              <w:adjustRightInd w:val="0"/>
              <w:jc w:val="center"/>
              <w:rPr>
                <w:rFonts w:ascii="宋体" w:hAnsi="Tms Rmn" w:eastAsia="宋体" w:cs="Times New Roman"/>
                <w:kern w:val="0"/>
                <w:sz w:val="20"/>
                <w:szCs w:val="20"/>
              </w:rPr>
            </w:pPr>
            <w:r>
              <w:rPr>
                <w:rFonts w:hint="eastAsia" w:ascii="黑体" w:hAnsi="Times New Roman" w:eastAsia="黑体" w:cs="Times New Roman"/>
                <w:kern w:val="0"/>
                <w:sz w:val="21"/>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bottom w:val="single" w:color="auto" w:sz="4" w:space="0"/>
            </w:tcBorders>
            <w:shd w:val="clear" w:color="auto" w:fill="auto"/>
          </w:tcPr>
          <w:p>
            <w:pPr>
              <w:autoSpaceDE w:val="0"/>
              <w:autoSpaceDN w:val="0"/>
              <w:adjustRightInd w:val="0"/>
              <w:snapToGrid w:val="0"/>
              <w:jc w:val="center"/>
              <w:rPr>
                <w:rFonts w:hint="eastAsia" w:ascii="黑体" w:hAnsi="Times New Roman" w:eastAsia="黑体" w:cs="Times New Roman"/>
                <w:kern w:val="0"/>
                <w:sz w:val="21"/>
                <w:szCs w:val="20"/>
              </w:rPr>
            </w:pPr>
            <w:r>
              <w:rPr>
                <w:rFonts w:hint="eastAsia" w:ascii="黑体" w:hAnsi="Times New Roman" w:eastAsia="黑体" w:cs="Times New Roman"/>
                <w:kern w:val="0"/>
                <w:sz w:val="21"/>
                <w:szCs w:val="20"/>
              </w:rPr>
              <w:t>十三</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left"/>
              <w:rPr>
                <w:rFonts w:hint="eastAsia" w:ascii="黑体" w:hAnsi="Times New Roman" w:eastAsia="黑体" w:cs="Times New Roman"/>
                <w:kern w:val="0"/>
                <w:sz w:val="21"/>
                <w:szCs w:val="20"/>
              </w:rPr>
            </w:pPr>
            <w:r>
              <w:rPr>
                <w:rFonts w:hint="eastAsia" w:ascii="黑体" w:hAnsi="Times New Roman" w:eastAsia="黑体" w:cs="Times New Roman"/>
                <w:kern w:val="0"/>
                <w:sz w:val="21"/>
                <w:szCs w:val="20"/>
              </w:rPr>
              <w:t>收文处理</w:t>
            </w:r>
          </w:p>
        </w:tc>
        <w:tc>
          <w:tcPr>
            <w:tcW w:w="2280" w:type="dxa"/>
            <w:tcBorders>
              <w:top w:val="single" w:color="auto" w:sz="4" w:space="0"/>
              <w:bottom w:val="single" w:color="auto" w:sz="4" w:space="0"/>
            </w:tcBorders>
            <w:shd w:val="clear" w:color="auto" w:fill="auto"/>
          </w:tcPr>
          <w:p>
            <w:pPr>
              <w:autoSpaceDE w:val="0"/>
              <w:autoSpaceDN w:val="0"/>
              <w:adjustRightInd w:val="0"/>
              <w:jc w:val="center"/>
              <w:rPr>
                <w:rFonts w:ascii="宋体" w:hAnsi="Tms Rmn" w:eastAsia="宋体" w:cs="Times New Roman"/>
                <w:kern w:val="0"/>
                <w:sz w:val="20"/>
                <w:szCs w:val="20"/>
              </w:rPr>
            </w:pPr>
            <w:r>
              <w:rPr>
                <w:rFonts w:hint="eastAsia" w:ascii="黑体" w:hAnsi="Times New Roman" w:eastAsia="黑体" w:cs="Times New Roman"/>
                <w:kern w:val="0"/>
                <w:sz w:val="21"/>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tcBorders>
            <w:shd w:val="clear" w:color="auto" w:fill="auto"/>
          </w:tcPr>
          <w:p>
            <w:pPr>
              <w:autoSpaceDE w:val="0"/>
              <w:autoSpaceDN w:val="0"/>
              <w:adjustRightInd w:val="0"/>
              <w:snapToGrid w:val="0"/>
              <w:jc w:val="center"/>
              <w:rPr>
                <w:rFonts w:hint="eastAsia" w:ascii="黑体" w:hAnsi="Times New Roman" w:eastAsia="黑体" w:cs="Times New Roman"/>
                <w:kern w:val="0"/>
                <w:sz w:val="21"/>
                <w:szCs w:val="20"/>
              </w:rPr>
            </w:pPr>
            <w:r>
              <w:rPr>
                <w:rFonts w:hint="eastAsia" w:ascii="黑体" w:hAnsi="Times New Roman" w:eastAsia="黑体" w:cs="Times New Roman"/>
                <w:kern w:val="0"/>
                <w:sz w:val="21"/>
                <w:szCs w:val="20"/>
              </w:rPr>
              <w:t>十四</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left"/>
              <w:rPr>
                <w:rFonts w:hint="eastAsia" w:ascii="黑体" w:hAnsi="Times New Roman" w:eastAsia="黑体" w:cs="Times New Roman"/>
                <w:kern w:val="0"/>
                <w:sz w:val="21"/>
                <w:szCs w:val="20"/>
              </w:rPr>
            </w:pPr>
            <w:r>
              <w:rPr>
                <w:rFonts w:hint="eastAsia" w:ascii="黑体" w:hAnsi="Times New Roman" w:eastAsia="黑体" w:cs="Times New Roman"/>
                <w:kern w:val="0"/>
                <w:sz w:val="21"/>
                <w:szCs w:val="20"/>
              </w:rPr>
              <w:t>文书立卷</w:t>
            </w:r>
          </w:p>
        </w:tc>
        <w:tc>
          <w:tcPr>
            <w:tcW w:w="2280" w:type="dxa"/>
            <w:tcBorders>
              <w:top w:val="single" w:color="auto" w:sz="4" w:space="0"/>
            </w:tcBorders>
            <w:shd w:val="clear" w:color="auto" w:fill="auto"/>
          </w:tcPr>
          <w:p>
            <w:pPr>
              <w:autoSpaceDE w:val="0"/>
              <w:autoSpaceDN w:val="0"/>
              <w:adjustRightInd w:val="0"/>
              <w:jc w:val="center"/>
              <w:rPr>
                <w:rFonts w:ascii="宋体" w:hAnsi="Tms Rmn" w:eastAsia="宋体" w:cs="Times New Roman"/>
                <w:kern w:val="0"/>
                <w:sz w:val="20"/>
                <w:szCs w:val="20"/>
              </w:rPr>
            </w:pPr>
            <w:r>
              <w:rPr>
                <w:rFonts w:hint="eastAsia" w:ascii="黑体" w:hAnsi="Times New Roman" w:eastAsia="黑体" w:cs="Times New Roman"/>
                <w:kern w:val="0"/>
                <w:sz w:val="21"/>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shd w:val="clear" w:color="auto" w:fill="auto"/>
          </w:tcPr>
          <w:p>
            <w:pPr>
              <w:autoSpaceDE w:val="0"/>
              <w:autoSpaceDN w:val="0"/>
              <w:adjustRightInd w:val="0"/>
              <w:snapToGrid w:val="0"/>
              <w:jc w:val="center"/>
              <w:rPr>
                <w:rFonts w:hint="eastAsia" w:ascii="黑体" w:hAnsi="Times New Roman" w:eastAsia="黑体" w:cs="Times New Roman"/>
                <w:kern w:val="0"/>
                <w:sz w:val="21"/>
                <w:szCs w:val="20"/>
              </w:rPr>
            </w:pPr>
            <w:r>
              <w:rPr>
                <w:rFonts w:hint="eastAsia" w:ascii="黑体" w:hAnsi="Times New Roman" w:eastAsia="黑体" w:cs="Times New Roman"/>
                <w:kern w:val="0"/>
                <w:sz w:val="21"/>
                <w:szCs w:val="20"/>
              </w:rPr>
              <w:t>十五</w:t>
            </w:r>
          </w:p>
        </w:tc>
        <w:tc>
          <w:tcPr>
            <w:tcW w:w="2400" w:type="dxa"/>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jc w:val="left"/>
              <w:rPr>
                <w:rFonts w:hint="eastAsia" w:ascii="黑体" w:hAnsi="Times New Roman" w:eastAsia="黑体" w:cs="Times New Roman"/>
                <w:kern w:val="0"/>
                <w:sz w:val="21"/>
                <w:szCs w:val="20"/>
              </w:rPr>
            </w:pPr>
            <w:r>
              <w:rPr>
                <w:rFonts w:hint="eastAsia" w:ascii="黑体" w:hAnsi="Times New Roman" w:eastAsia="黑体" w:cs="Times New Roman"/>
                <w:kern w:val="0"/>
                <w:sz w:val="21"/>
                <w:szCs w:val="20"/>
              </w:rPr>
              <w:t>文书归档</w:t>
            </w:r>
          </w:p>
        </w:tc>
        <w:tc>
          <w:tcPr>
            <w:tcW w:w="2280" w:type="dxa"/>
            <w:shd w:val="clear" w:color="auto" w:fill="auto"/>
          </w:tcPr>
          <w:p>
            <w:pPr>
              <w:autoSpaceDE w:val="0"/>
              <w:autoSpaceDN w:val="0"/>
              <w:adjustRightInd w:val="0"/>
              <w:jc w:val="center"/>
              <w:rPr>
                <w:rFonts w:ascii="宋体" w:hAnsi="Tms Rmn" w:eastAsia="宋体" w:cs="Times New Roman"/>
                <w:kern w:val="0"/>
                <w:sz w:val="20"/>
                <w:szCs w:val="20"/>
              </w:rPr>
            </w:pPr>
            <w:r>
              <w:rPr>
                <w:rFonts w:hint="eastAsia" w:ascii="黑体" w:hAnsi="Times New Roman" w:eastAsia="黑体" w:cs="Times New Roman"/>
                <w:kern w:val="0"/>
                <w:sz w:val="21"/>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shd w:val="clear" w:color="auto" w:fill="auto"/>
          </w:tcPr>
          <w:p>
            <w:pPr>
              <w:autoSpaceDE w:val="0"/>
              <w:autoSpaceDN w:val="0"/>
              <w:adjustRightInd w:val="0"/>
              <w:snapToGrid w:val="0"/>
              <w:jc w:val="center"/>
              <w:rPr>
                <w:rFonts w:hint="eastAsia" w:ascii="黑体" w:hAnsi="Times New Roman" w:eastAsia="黑体" w:cs="Times New Roman"/>
                <w:kern w:val="0"/>
                <w:sz w:val="21"/>
                <w:szCs w:val="20"/>
              </w:rPr>
            </w:pPr>
            <w:r>
              <w:rPr>
                <w:rFonts w:hint="eastAsia" w:ascii="黑体" w:hAnsi="Times New Roman" w:eastAsia="黑体" w:cs="Times New Roman"/>
                <w:kern w:val="0"/>
                <w:sz w:val="21"/>
                <w:szCs w:val="20"/>
              </w:rPr>
              <w:t>十六</w:t>
            </w:r>
          </w:p>
        </w:tc>
        <w:tc>
          <w:tcPr>
            <w:tcW w:w="2400" w:type="dxa"/>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jc w:val="left"/>
              <w:rPr>
                <w:rFonts w:hint="eastAsia" w:ascii="黑体" w:hAnsi="Times New Roman" w:eastAsia="黑体" w:cs="Times New Roman"/>
                <w:kern w:val="0"/>
                <w:sz w:val="21"/>
                <w:szCs w:val="20"/>
              </w:rPr>
            </w:pPr>
            <w:r>
              <w:rPr>
                <w:rFonts w:hint="eastAsia" w:ascii="黑体" w:hAnsi="Times New Roman" w:eastAsia="黑体" w:cs="Times New Roman"/>
                <w:kern w:val="0"/>
                <w:sz w:val="21"/>
                <w:szCs w:val="20"/>
              </w:rPr>
              <w:t>复习与答疑</w:t>
            </w:r>
          </w:p>
        </w:tc>
        <w:tc>
          <w:tcPr>
            <w:tcW w:w="2280" w:type="dxa"/>
            <w:shd w:val="clear" w:color="auto" w:fill="auto"/>
          </w:tcPr>
          <w:p>
            <w:pPr>
              <w:autoSpaceDE w:val="0"/>
              <w:autoSpaceDN w:val="0"/>
              <w:adjustRightInd w:val="0"/>
              <w:jc w:val="center"/>
              <w:rPr>
                <w:rFonts w:ascii="宋体" w:hAnsi="Tms Rmn" w:eastAsia="宋体" w:cs="Times New Roman"/>
                <w:kern w:val="0"/>
                <w:sz w:val="20"/>
                <w:szCs w:val="20"/>
              </w:rPr>
            </w:pPr>
            <w:r>
              <w:rPr>
                <w:rFonts w:hint="eastAsia" w:ascii="黑体" w:hAnsi="Times New Roman" w:eastAsia="黑体" w:cs="Times New Roman"/>
                <w:kern w:val="0"/>
                <w:sz w:val="21"/>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8" w:type="dxa"/>
            <w:gridSpan w:val="2"/>
            <w:shd w:val="clear" w:color="auto" w:fill="auto"/>
          </w:tcPr>
          <w:p>
            <w:pPr>
              <w:autoSpaceDE w:val="0"/>
              <w:autoSpaceDN w:val="0"/>
              <w:adjustRightInd w:val="0"/>
              <w:snapToGrid w:val="0"/>
              <w:jc w:val="center"/>
              <w:rPr>
                <w:rFonts w:hint="eastAsia" w:ascii="黑体" w:hAnsi="Times New Roman" w:eastAsia="黑体" w:cs="Times New Roman"/>
                <w:kern w:val="0"/>
                <w:sz w:val="21"/>
                <w:szCs w:val="20"/>
              </w:rPr>
            </w:pPr>
            <w:r>
              <w:rPr>
                <w:rFonts w:hint="eastAsia" w:ascii="黑体" w:hAnsi="Times New Roman" w:eastAsia="黑体" w:cs="Times New Roman"/>
                <w:kern w:val="0"/>
                <w:sz w:val="21"/>
                <w:szCs w:val="20"/>
              </w:rPr>
              <w:t>总        计</w:t>
            </w:r>
          </w:p>
        </w:tc>
        <w:tc>
          <w:tcPr>
            <w:tcW w:w="2280" w:type="dxa"/>
            <w:shd w:val="clear" w:color="auto" w:fill="auto"/>
          </w:tcPr>
          <w:p>
            <w:pPr>
              <w:autoSpaceDE w:val="0"/>
              <w:autoSpaceDN w:val="0"/>
              <w:adjustRightInd w:val="0"/>
              <w:snapToGrid w:val="0"/>
              <w:jc w:val="center"/>
              <w:rPr>
                <w:rFonts w:hint="eastAsia" w:ascii="黑体" w:hAnsi="Times New Roman" w:eastAsia="黑体" w:cs="Times New Roman"/>
                <w:kern w:val="0"/>
                <w:sz w:val="21"/>
                <w:szCs w:val="20"/>
              </w:rPr>
            </w:pPr>
          </w:p>
        </w:tc>
      </w:tr>
    </w:tbl>
    <w:p>
      <w:pPr>
        <w:widowControl/>
        <w:spacing w:before="156" w:beforeLines="50" w:after="156" w:afterLines="50"/>
        <w:ind w:firstLine="562" w:firstLineChars="200"/>
        <w:jc w:val="left"/>
      </w:pPr>
      <w:r>
        <w:rPr>
          <w:rFonts w:hint="eastAsia" w:ascii="黑体" w:hAnsi="黑体" w:eastAsia="黑体"/>
          <w:b/>
          <w:sz w:val="28"/>
          <w:szCs w:val="28"/>
          <w:lang w:val="en-US" w:eastAsia="zh-CN"/>
        </w:rPr>
        <w:t>五</w:t>
      </w:r>
      <w:r>
        <w:rPr>
          <w:rFonts w:hint="eastAsia" w:ascii="黑体" w:hAnsi="黑体" w:eastAsia="黑体"/>
          <w:b/>
          <w:sz w:val="28"/>
          <w:szCs w:val="28"/>
        </w:rPr>
        <w:t>、教材及参考书目</w:t>
      </w:r>
    </w:p>
    <w:p>
      <w:pPr>
        <w:autoSpaceDE w:val="0"/>
        <w:autoSpaceDN w:val="0"/>
        <w:adjustRightInd w:val="0"/>
        <w:ind w:leftChars="400"/>
        <w:jc w:val="left"/>
        <w:rPr>
          <w:rFonts w:hint="eastAsia" w:ascii="宋体" w:hAnsi="Tms Rmn" w:eastAsia="宋体" w:cs="Times New Roman"/>
          <w:kern w:val="0"/>
          <w:sz w:val="21"/>
          <w:szCs w:val="21"/>
        </w:rPr>
      </w:pPr>
      <w:bookmarkStart w:id="0" w:name="_GoBack"/>
      <w:r>
        <w:rPr>
          <w:rFonts w:hint="eastAsia" w:ascii="宋体" w:hAnsi="Tms Rmn" w:eastAsia="宋体" w:cs="Times New Roman"/>
          <w:kern w:val="0"/>
          <w:sz w:val="21"/>
          <w:szCs w:val="21"/>
        </w:rPr>
        <w:t>1.许同莘《公牍学史》，档案出版社1989年4月新1版。</w:t>
      </w:r>
    </w:p>
    <w:p>
      <w:pPr>
        <w:autoSpaceDE w:val="0"/>
        <w:autoSpaceDN w:val="0"/>
        <w:adjustRightInd w:val="0"/>
        <w:ind w:leftChars="400"/>
        <w:jc w:val="left"/>
        <w:rPr>
          <w:rFonts w:hint="eastAsia" w:ascii="宋体" w:hAnsi="Tms Rmn" w:eastAsia="宋体" w:cs="Times New Roman"/>
          <w:kern w:val="0"/>
          <w:sz w:val="21"/>
          <w:szCs w:val="21"/>
        </w:rPr>
      </w:pPr>
      <w:r>
        <w:rPr>
          <w:rFonts w:hint="eastAsia" w:ascii="宋体" w:hAnsi="Tms Rmn" w:eastAsia="宋体" w:cs="Times New Roman"/>
          <w:kern w:val="0"/>
          <w:sz w:val="21"/>
          <w:szCs w:val="21"/>
        </w:rPr>
        <w:t>2.徐望之《公牍通论》，档案出版社1988年新1版。</w:t>
      </w:r>
    </w:p>
    <w:p>
      <w:pPr>
        <w:autoSpaceDE w:val="0"/>
        <w:autoSpaceDN w:val="0"/>
        <w:adjustRightInd w:val="0"/>
        <w:ind w:leftChars="400"/>
        <w:jc w:val="left"/>
        <w:rPr>
          <w:rFonts w:hint="eastAsia" w:ascii="宋体" w:hAnsi="Tms Rmn" w:eastAsia="宋体" w:cs="Times New Roman"/>
          <w:kern w:val="0"/>
          <w:sz w:val="21"/>
          <w:szCs w:val="21"/>
        </w:rPr>
      </w:pPr>
      <w:r>
        <w:rPr>
          <w:rFonts w:hint="eastAsia" w:ascii="宋体" w:hAnsi="Tms Rmn" w:eastAsia="宋体" w:cs="Times New Roman"/>
          <w:kern w:val="0"/>
          <w:sz w:val="21"/>
          <w:szCs w:val="21"/>
        </w:rPr>
        <w:t>3.潘嘉《中国文书工作史纲要》，档案出版社1985年5月新1版。</w:t>
      </w:r>
    </w:p>
    <w:p>
      <w:pPr>
        <w:autoSpaceDE w:val="0"/>
        <w:autoSpaceDN w:val="0"/>
        <w:adjustRightInd w:val="0"/>
        <w:ind w:leftChars="400"/>
        <w:jc w:val="left"/>
        <w:rPr>
          <w:rFonts w:hint="eastAsia" w:ascii="宋体" w:hAnsi="Tms Rmn" w:eastAsia="宋体" w:cs="Times New Roman"/>
          <w:kern w:val="0"/>
          <w:sz w:val="21"/>
          <w:szCs w:val="21"/>
        </w:rPr>
      </w:pPr>
      <w:r>
        <w:rPr>
          <w:rFonts w:hint="eastAsia" w:ascii="宋体" w:hAnsi="Tms Rmn" w:eastAsia="宋体" w:cs="Times New Roman"/>
          <w:kern w:val="0"/>
          <w:sz w:val="21"/>
          <w:szCs w:val="21"/>
        </w:rPr>
        <w:t>4.松世勤 薛美珍《文书工作基本知识》，档案出版社1985年1月新1版。</w:t>
      </w:r>
    </w:p>
    <w:p>
      <w:pPr>
        <w:autoSpaceDE w:val="0"/>
        <w:autoSpaceDN w:val="0"/>
        <w:adjustRightInd w:val="0"/>
        <w:ind w:leftChars="400"/>
        <w:jc w:val="left"/>
        <w:rPr>
          <w:rFonts w:hint="eastAsia" w:ascii="宋体" w:hAnsi="Tms Rmn" w:eastAsia="宋体" w:cs="Times New Roman"/>
          <w:kern w:val="0"/>
          <w:sz w:val="21"/>
          <w:szCs w:val="21"/>
        </w:rPr>
      </w:pPr>
      <w:r>
        <w:rPr>
          <w:rFonts w:hint="eastAsia" w:ascii="宋体" w:hAnsi="Tms Rmn" w:eastAsia="宋体" w:cs="Times New Roman"/>
          <w:kern w:val="0"/>
          <w:sz w:val="21"/>
          <w:szCs w:val="21"/>
        </w:rPr>
        <w:t>5.张清明《文书学及实用公文》，武汉大学出版社1983年7月第1版。</w:t>
      </w:r>
    </w:p>
    <w:p>
      <w:pPr>
        <w:autoSpaceDE w:val="0"/>
        <w:autoSpaceDN w:val="0"/>
        <w:adjustRightInd w:val="0"/>
        <w:ind w:leftChars="400"/>
        <w:jc w:val="left"/>
        <w:rPr>
          <w:rFonts w:hint="eastAsia" w:ascii="宋体" w:hAnsi="Tms Rmn" w:eastAsia="宋体" w:cs="Times New Roman"/>
          <w:kern w:val="0"/>
          <w:sz w:val="21"/>
          <w:szCs w:val="21"/>
        </w:rPr>
      </w:pPr>
      <w:r>
        <w:rPr>
          <w:rFonts w:hint="eastAsia" w:ascii="宋体" w:hAnsi="Tms Rmn" w:eastAsia="宋体" w:cs="Times New Roman"/>
          <w:kern w:val="0"/>
          <w:sz w:val="21"/>
          <w:szCs w:val="21"/>
        </w:rPr>
        <w:t>6.松世勤《文书学基础》，中国人民大学出版社1984年2月第1版。</w:t>
      </w:r>
    </w:p>
    <w:p>
      <w:pPr>
        <w:autoSpaceDE w:val="0"/>
        <w:autoSpaceDN w:val="0"/>
        <w:adjustRightInd w:val="0"/>
        <w:ind w:leftChars="400"/>
        <w:jc w:val="left"/>
        <w:rPr>
          <w:rFonts w:hint="eastAsia" w:ascii="宋体" w:hAnsi="Tms Rmn" w:eastAsia="宋体" w:cs="Times New Roman"/>
          <w:kern w:val="0"/>
          <w:sz w:val="21"/>
          <w:szCs w:val="21"/>
        </w:rPr>
      </w:pPr>
      <w:r>
        <w:rPr>
          <w:rFonts w:hint="eastAsia" w:ascii="宋体" w:hAnsi="Tms Rmn" w:eastAsia="宋体" w:cs="Times New Roman"/>
          <w:kern w:val="0"/>
          <w:sz w:val="21"/>
          <w:szCs w:val="21"/>
        </w:rPr>
        <w:t>7.梁毓阶《文书学》，档案出版社1985年12月第1版。</w:t>
      </w:r>
    </w:p>
    <w:p>
      <w:pPr>
        <w:autoSpaceDE w:val="0"/>
        <w:autoSpaceDN w:val="0"/>
        <w:adjustRightInd w:val="0"/>
        <w:ind w:leftChars="400"/>
        <w:jc w:val="left"/>
        <w:rPr>
          <w:rFonts w:ascii="宋体" w:hAnsi="Tms Rmn" w:eastAsia="宋体" w:cs="Times New Roman"/>
          <w:kern w:val="0"/>
          <w:sz w:val="21"/>
          <w:szCs w:val="21"/>
        </w:rPr>
      </w:pPr>
      <w:r>
        <w:rPr>
          <w:rFonts w:hint="eastAsia" w:ascii="宋体" w:hAnsi="Tms Rmn" w:eastAsia="宋体" w:cs="Times New Roman"/>
          <w:kern w:val="0"/>
          <w:sz w:val="21"/>
          <w:szCs w:val="21"/>
        </w:rPr>
        <w:t>8.王铭《文书原理》，苏州大学教材科1984年以“补充教材”铅印。</w:t>
      </w:r>
    </w:p>
    <w:bookmarkEnd w:id="0"/>
    <w:p>
      <w:pPr>
        <w:widowControl/>
        <w:jc w:val="left"/>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TimesNewRomanPSMT">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ms Rmn">
    <w:altName w:val="Times New Roman"/>
    <w:panose1 w:val="02020603040505020304"/>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10224"/>
    <w:multiLevelType w:val="multilevel"/>
    <w:tmpl w:val="1AD102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6584955"/>
    <w:multiLevelType w:val="multilevel"/>
    <w:tmpl w:val="2658495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1DA3D2F"/>
    <w:multiLevelType w:val="multilevel"/>
    <w:tmpl w:val="31DA3D2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C648C0"/>
    <w:multiLevelType w:val="multilevel"/>
    <w:tmpl w:val="68C648C0"/>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9726BBC"/>
    <w:multiLevelType w:val="multilevel"/>
    <w:tmpl w:val="79726B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22CBB"/>
    <w:rsid w:val="00077A5F"/>
    <w:rsid w:val="000F054A"/>
    <w:rsid w:val="001E5724"/>
    <w:rsid w:val="00242673"/>
    <w:rsid w:val="00285327"/>
    <w:rsid w:val="002A7568"/>
    <w:rsid w:val="00313A87"/>
    <w:rsid w:val="00322986"/>
    <w:rsid w:val="0034254B"/>
    <w:rsid w:val="0038665C"/>
    <w:rsid w:val="004070CF"/>
    <w:rsid w:val="005A0378"/>
    <w:rsid w:val="00665621"/>
    <w:rsid w:val="006E4F82"/>
    <w:rsid w:val="006F64C9"/>
    <w:rsid w:val="007639A2"/>
    <w:rsid w:val="007C379D"/>
    <w:rsid w:val="007C62ED"/>
    <w:rsid w:val="007E39E3"/>
    <w:rsid w:val="008128AD"/>
    <w:rsid w:val="008560E2"/>
    <w:rsid w:val="00886EBF"/>
    <w:rsid w:val="00A03BBD"/>
    <w:rsid w:val="00A61EFD"/>
    <w:rsid w:val="00AA4570"/>
    <w:rsid w:val="00AA630A"/>
    <w:rsid w:val="00AE3D1A"/>
    <w:rsid w:val="00B03909"/>
    <w:rsid w:val="00B40ECD"/>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D7F81"/>
    <w:rsid w:val="00F56396"/>
    <w:rsid w:val="00FB77A1"/>
    <w:rsid w:val="00FC24B5"/>
    <w:rsid w:val="501D71DB"/>
    <w:rsid w:val="59D06309"/>
    <w:rsid w:val="74171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9"/>
    <w:qFormat/>
    <w:uiPriority w:val="99"/>
    <w:rPr>
      <w:rFonts w:ascii="宋体" w:hAnsi="Courier New" w:eastAsia="宋体" w:cs="Times New Roman"/>
      <w:szCs w:val="20"/>
    </w:rPr>
  </w:style>
  <w:style w:type="paragraph" w:styleId="3">
    <w:name w:val="Balloon Text"/>
    <w:basedOn w:val="1"/>
    <w:link w:val="12"/>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纯文本 字符"/>
    <w:basedOn w:val="8"/>
    <w:link w:val="2"/>
    <w:uiPriority w:val="99"/>
    <w:rPr>
      <w:rFonts w:ascii="宋体" w:hAnsi="Courier New" w:eastAsia="宋体" w:cs="Times New Roman"/>
      <w:szCs w:val="20"/>
    </w:rPr>
  </w:style>
  <w:style w:type="character" w:customStyle="1" w:styleId="10">
    <w:name w:val="页眉 字符"/>
    <w:basedOn w:val="8"/>
    <w:link w:val="5"/>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 w:type="paragraph" w:styleId="13">
    <w:name w:val="List Paragraph"/>
    <w:qFormat/>
    <w:uiPriority w:val="34"/>
    <w:pPr>
      <w:widowControl w:val="0"/>
      <w:autoSpaceDE w:val="0"/>
      <w:autoSpaceDN w:val="0"/>
      <w:adjustRightInd w:val="0"/>
      <w:ind w:firstLine="420" w:firstLineChars="200"/>
    </w:pPr>
    <w:rPr>
      <w:rFonts w:ascii="宋体" w:hAnsi="Tms Rmn" w:eastAsia="宋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274</Words>
  <Characters>1568</Characters>
  <Lines>13</Lines>
  <Paragraphs>3</Paragraphs>
  <TotalTime>1</TotalTime>
  <ScaleCrop>false</ScaleCrop>
  <LinksUpToDate>false</LinksUpToDate>
  <CharactersWithSpaces>1839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2020-12-08T08:33:00Z</dcterms:created>
  <dc:creator>Windows User</dc:creator>
  <cp:lastModifiedBy>Administrator</cp:lastModifiedBy>
  <cp:lastPrinted>2020-12-24T07:17:00Z</cp:lastPrinted>
  <dcterms:modified xsi:type="dcterms:W3CDTF">2021-03-25T14:22:01Z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