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0" w:line="400" w:lineRule="exact"/>
        <w:contextualSpacing/>
        <w:jc w:val="center"/>
        <w:rPr>
          <w:rFonts w:ascii="Times New Roman" w:hAnsi="Times New Roman" w:cs="Times New Roman"/>
          <w:sz w:val="40"/>
        </w:rPr>
      </w:pPr>
      <w:r>
        <w:rPr>
          <w:rFonts w:ascii="Times New Roman" w:cs="Times New Roman"/>
          <w:sz w:val="40"/>
        </w:rPr>
        <w:t>《</w:t>
      </w:r>
      <w:r>
        <w:rPr>
          <w:rFonts w:hint="eastAsia" w:ascii="Times New Roman" w:hAnsi="Times New Roman" w:cs="Times New Roman"/>
          <w:sz w:val="40"/>
        </w:rPr>
        <w:t>中国民俗学</w:t>
      </w:r>
      <w:r>
        <w:rPr>
          <w:rFonts w:ascii="Times New Roman" w:cs="Times New Roman"/>
          <w:sz w:val="40"/>
        </w:rPr>
        <w:t>》课程教学大纲</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p>
          <w:p>
            <w:pPr>
              <w:spacing w:line="400" w:lineRule="exact"/>
              <w:contextualSpacing/>
              <w:rPr>
                <w:rFonts w:ascii="Times New Roman" w:hAnsi="Times New Roman" w:cs="Times New Roman"/>
                <w:sz w:val="24"/>
              </w:rPr>
            </w:pPr>
            <w:r>
              <w:rPr>
                <w:rFonts w:ascii="Times New Roman" w:hAnsi="Times New Roman" w:cs="Times New Roman"/>
                <w:sz w:val="24"/>
              </w:rPr>
              <w:t>课程名称：</w:t>
            </w:r>
            <w:r>
              <w:rPr>
                <w:rFonts w:hint="eastAsia" w:ascii="Times New Roman" w:hAnsi="Times New Roman" w:cs="Times New Roman"/>
                <w:sz w:val="24"/>
              </w:rPr>
              <w:t>中国民俗学</w:t>
            </w:r>
          </w:p>
        </w:tc>
        <w:tc>
          <w:tcPr>
            <w:tcW w:w="4148" w:type="dxa"/>
          </w:tcPr>
          <w:p>
            <w:pPr>
              <w:spacing w:line="400" w:lineRule="exact"/>
              <w:contextualSpacing/>
              <w:rPr>
                <w:rFonts w:ascii="Times New Roman" w:hAnsi="Times New Roman" w:cs="Times New Roman"/>
                <w:sz w:val="24"/>
              </w:rPr>
            </w:pPr>
          </w:p>
          <w:p>
            <w:pPr>
              <w:spacing w:line="400" w:lineRule="exact"/>
              <w:contextualSpacing/>
              <w:rPr>
                <w:rFonts w:ascii="Times New Roman" w:hAnsi="Times New Roman" w:cs="Times New Roman"/>
                <w:sz w:val="24"/>
              </w:rPr>
            </w:pPr>
            <w:r>
              <w:rPr>
                <w:rFonts w:ascii="Times New Roman" w:hAnsi="Times New Roman" w:cs="Times New Roman"/>
                <w:sz w:val="24"/>
              </w:rPr>
              <w:t>课程代码：CLLI2040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400" w:lineRule="exact"/>
              <w:contextualSpacing/>
              <w:rPr>
                <w:rFonts w:ascii="Times New Roman" w:hAnsi="Times New Roman" w:cs="Times New Roman"/>
                <w:sz w:val="24"/>
              </w:rPr>
            </w:pPr>
            <w:r>
              <w:rPr>
                <w:rFonts w:ascii="Times New Roman" w:hAnsi="Times New Roman" w:cs="Times New Roman"/>
                <w:sz w:val="24"/>
              </w:rPr>
              <w:t>英文名称：Chinese Folklore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课程性质：</w:t>
            </w:r>
            <w:r>
              <w:rPr>
                <w:rFonts w:hint="eastAsia" w:ascii="Times New Roman" w:hAnsi="Times New Roman" w:cs="Times New Roman"/>
                <w:sz w:val="24"/>
              </w:rPr>
              <w:t>专业选修课程</w:t>
            </w:r>
          </w:p>
        </w:tc>
        <w:tc>
          <w:tcPr>
            <w:tcW w:w="4148" w:type="dxa"/>
          </w:tcPr>
          <w:p>
            <w:pPr>
              <w:spacing w:line="400" w:lineRule="exact"/>
              <w:contextualSpacing/>
              <w:rPr>
                <w:rFonts w:ascii="Times New Roman" w:hAnsi="Times New Roman" w:cs="Times New Roman"/>
                <w:sz w:val="24"/>
              </w:rPr>
            </w:pPr>
            <w:r>
              <w:rPr>
                <w:rFonts w:hint="eastAsia" w:ascii="Times New Roman" w:hAnsi="Times New Roman" w:cs="Times New Roman"/>
                <w:sz w:val="24"/>
              </w:rPr>
              <w:t>开课学期</w:t>
            </w:r>
            <w:r>
              <w:rPr>
                <w:rFonts w:ascii="Times New Roman" w:hAnsi="Times New Roman" w:cs="Times New Roman"/>
                <w:sz w:val="24"/>
              </w:rPr>
              <w:t>：</w:t>
            </w:r>
            <w:r>
              <w:rPr>
                <w:rFonts w:hint="eastAsia" w:ascii="Times New Roman" w:hAnsi="Times New Roman" w:cs="Times New Roman"/>
                <w:sz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学分/学时：2学分/36学时</w:t>
            </w:r>
          </w:p>
        </w:tc>
        <w:tc>
          <w:tcPr>
            <w:tcW w:w="4148" w:type="dxa"/>
          </w:tcPr>
          <w:p>
            <w:pPr>
              <w:spacing w:line="400" w:lineRule="exact"/>
              <w:contextualSpacing/>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400" w:lineRule="exact"/>
              <w:contextualSpacing/>
              <w:rPr>
                <w:rFonts w:ascii="Times New Roman" w:hAnsi="Times New Roman" w:cs="Times New Roman"/>
                <w:sz w:val="24"/>
              </w:rPr>
            </w:pPr>
            <w:r>
              <w:rPr>
                <w:rFonts w:ascii="Times New Roman" w:hAnsi="Times New Roman" w:cs="Times New Roman"/>
                <w:sz w:val="24"/>
              </w:rPr>
              <w:t>适用专业：</w:t>
            </w:r>
            <w:r>
              <w:rPr>
                <w:rFonts w:hint="eastAsia" w:ascii="Times New Roman" w:hAnsi="Times New Roman" w:cs="Times New Roman"/>
                <w:sz w:val="24"/>
              </w:rPr>
              <w:t>汉语言文学（师范）专业实践学时：</w:t>
            </w:r>
            <w:r>
              <w:rPr>
                <w:rFonts w:ascii="Times New Roman" w:hAnsi="Times New Roman" w:cs="Times New Roman"/>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400" w:lineRule="exact"/>
              <w:ind w:left="1200" w:hanging="1200" w:hangingChars="500"/>
              <w:contextualSpacing/>
              <w:rPr>
                <w:rFonts w:ascii="Times New Roman" w:hAnsi="Times New Roman" w:cs="Times New Roman"/>
                <w:sz w:val="24"/>
              </w:rPr>
            </w:pPr>
            <w:r>
              <w:rPr>
                <w:rFonts w:ascii="Times New Roman" w:hAnsi="Times New Roman" w:cs="Times New Roman"/>
                <w:sz w:val="24"/>
              </w:rPr>
              <w:t>先修课程：</w:t>
            </w:r>
            <w:r>
              <w:rPr>
                <w:rFonts w:hint="eastAsia" w:ascii="Times New Roman" w:hAnsi="Times New Roman" w:cs="Times New Roman"/>
                <w:sz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400" w:lineRule="exact"/>
              <w:contextualSpacing/>
              <w:rPr>
                <w:rFonts w:ascii="Times New Roman" w:hAnsi="Times New Roman" w:cs="Times New Roman"/>
                <w:sz w:val="24"/>
              </w:rPr>
            </w:pPr>
            <w:r>
              <w:rPr>
                <w:rFonts w:ascii="Times New Roman" w:hAnsi="Times New Roman" w:cs="Times New Roman"/>
                <w:sz w:val="24"/>
              </w:rPr>
              <w:t>后续课程：无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开课单位：</w:t>
            </w:r>
            <w:r>
              <w:rPr>
                <w:rFonts w:hint="eastAsia" w:ascii="Times New Roman" w:hAnsi="Times New Roman" w:cs="Times New Roman"/>
                <w:sz w:val="24"/>
              </w:rPr>
              <w:t>文学院</w:t>
            </w:r>
          </w:p>
        </w:tc>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课程负责人：</w:t>
            </w:r>
            <w:r>
              <w:rPr>
                <w:rFonts w:hint="eastAsia" w:ascii="Times New Roman" w:hAnsi="Times New Roman" w:cs="Times New Roman"/>
                <w:sz w:val="24"/>
              </w:rPr>
              <w:t>李晨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大纲执笔人：</w:t>
            </w:r>
            <w:r>
              <w:rPr>
                <w:rFonts w:hint="eastAsia" w:ascii="Times New Roman" w:hAnsi="Times New Roman" w:cs="Times New Roman"/>
                <w:sz w:val="24"/>
              </w:rPr>
              <w:t>李晨</w:t>
            </w:r>
          </w:p>
        </w:tc>
        <w:tc>
          <w:tcPr>
            <w:tcW w:w="4148" w:type="dxa"/>
          </w:tcPr>
          <w:p>
            <w:pPr>
              <w:spacing w:line="400" w:lineRule="exact"/>
              <w:contextualSpacing/>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指定教材：《中国民俗学》</w:t>
            </w:r>
            <w:bookmarkStart w:id="0" w:name="_GoBack"/>
            <w:bookmarkEnd w:id="0"/>
          </w:p>
        </w:tc>
      </w:tr>
    </w:tbl>
    <w:p>
      <w:pPr>
        <w:pStyle w:val="3"/>
        <w:spacing w:before="240" w:after="0" w:line="400" w:lineRule="exact"/>
        <w:contextualSpacing/>
        <w:rPr>
          <w:rFonts w:ascii="Times New Roman" w:hAnsi="Times New Roman" w:cs="Times New Roman"/>
          <w:sz w:val="30"/>
          <w:szCs w:val="30"/>
        </w:rPr>
      </w:pPr>
      <w:r>
        <w:rPr>
          <w:rFonts w:ascii="Times New Roman" w:cs="Times New Roman"/>
          <w:sz w:val="30"/>
          <w:szCs w:val="30"/>
        </w:rPr>
        <w:t>一、课程性质和教学目标</w:t>
      </w:r>
    </w:p>
    <w:p>
      <w:pPr>
        <w:spacing w:line="400" w:lineRule="exact"/>
        <w:ind w:firstLine="482" w:firstLineChars="200"/>
        <w:contextualSpacing/>
        <w:rPr>
          <w:rFonts w:ascii="宋体" w:hAnsi="宋体"/>
          <w:sz w:val="24"/>
        </w:rPr>
      </w:pPr>
      <w:r>
        <w:rPr>
          <w:rFonts w:ascii="Times New Roman" w:cs="Times New Roman"/>
          <w:b/>
          <w:color w:val="000000" w:themeColor="text1"/>
          <w:sz w:val="24"/>
          <w:szCs w:val="24"/>
        </w:rPr>
        <w:t>课程性质：</w:t>
      </w:r>
      <w:r>
        <w:rPr>
          <w:rFonts w:hint="eastAsia" w:ascii="宋体" w:hAnsi="宋体"/>
          <w:sz w:val="24"/>
        </w:rPr>
        <w:t>《中国民俗学》是为</w:t>
      </w:r>
      <w:r>
        <w:rPr>
          <w:rFonts w:hint="eastAsia" w:ascii="宋体" w:hAnsi="宋体"/>
          <w:sz w:val="24"/>
          <w:highlight w:val="yellow"/>
        </w:rPr>
        <w:t>汉语言文学专业（师范类）本科生开设的选修课程</w:t>
      </w:r>
      <w:r>
        <w:rPr>
          <w:rFonts w:hint="eastAsia" w:ascii="宋体" w:hAnsi="宋体"/>
          <w:sz w:val="24"/>
        </w:rPr>
        <w:t>，属于理论课程。开设本课程旨在在于提高大学生素质，拓宽专业知识面；同时也为有相关研究兴趣，毕业后准备继续在此方向深造或者从事相关领域工作的同学铺垫基础，培养他们的研究热情，引导他们对社会文化现象的探索研究。</w:t>
      </w:r>
    </w:p>
    <w:p>
      <w:pPr>
        <w:spacing w:before="156" w:beforeLines="50" w:line="400" w:lineRule="exact"/>
        <w:ind w:firstLine="482" w:firstLineChars="200"/>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教学目标：</w:t>
      </w:r>
      <w:r>
        <w:rPr>
          <w:rFonts w:hint="eastAsia" w:ascii="Times New Roman" w:hAnsi="Times New Roman" w:cs="Times New Roman"/>
          <w:color w:val="000000" w:themeColor="text1"/>
          <w:sz w:val="24"/>
          <w:szCs w:val="24"/>
        </w:rPr>
        <w:t>通过本课程的学习，使学生能够系统掌握基本概念、主要理论方法，以及主要的民俗文化知识。了解中国人的生活智慧和各民族不同的文化面貌。理解今天人们为什么还要遵循世世代代流传下来的风俗习惯，普及民俗知识，推动学生对传统文化的重要部分——民间文化的认识，从而在精神上充实自己，在实际生活中学会具体应用，使学生更好地了解各族人民的智慧、创造力及多样性的文化，从而激发他们对本民族的自豪感和爱国主义精神。</w:t>
      </w:r>
    </w:p>
    <w:p>
      <w:pPr>
        <w:spacing w:before="156" w:beforeLines="50" w:line="400" w:lineRule="exact"/>
        <w:ind w:firstLine="480" w:firstLineChars="200"/>
        <w:contextualSpacing/>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这里所展示的《中国民俗学》教学计划，旨在使通过本门课程的学习，学生了解和掌握民俗学的基本知识，了解和掌握民俗学在当今社会生活中的作用，尤其是了解和掌握吉祥民俗艺术在中国人社会经济生活中的作用。通过教学，使学生掌握所讲授的相关知识，为建设社会主义新文化，为社会经济发展，为发扬光大优秀民族文化传统，在今后社会经济生活中，强化自己的职业生涯和发展中国特色的经济文化储备必要的知识，为全面建设小康社会做出自己的贡献。</w:t>
      </w:r>
    </w:p>
    <w:p>
      <w:pPr>
        <w:spacing w:before="156" w:beforeLines="50" w:line="400" w:lineRule="exact"/>
        <w:ind w:firstLine="480" w:firstLineChars="200"/>
        <w:contextualSpacing/>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具体目标如下：</w:t>
      </w:r>
    </w:p>
    <w:p>
      <w:pPr>
        <w:adjustRightInd w:val="0"/>
        <w:snapToGrid w:val="0"/>
        <w:spacing w:line="400" w:lineRule="exact"/>
        <w:ind w:firstLine="480" w:firstLineChars="200"/>
        <w:rPr>
          <w:rFonts w:ascii="Times New Roman" w:hAnsi="Times New Roman" w:eastAsia="宋体"/>
          <w:szCs w:val="21"/>
        </w:rPr>
      </w:pPr>
      <w:r>
        <w:rPr>
          <w:rFonts w:hint="eastAsia" w:ascii="Times New Roman" w:hAnsi="Times New Roman" w:cs="Times New Roman"/>
          <w:color w:val="000000" w:themeColor="text1"/>
          <w:sz w:val="24"/>
          <w:szCs w:val="24"/>
        </w:rPr>
        <w:t>1.让学生了解和掌握民俗学的基本理论知识，了解各类民俗的特点以及在当今的作用功能和表现形式。在此基础上，增强民族自信心和自豪感，弘扬民族优秀传统文化，为构建和谐社会服务。</w:t>
      </w:r>
      <w:r>
        <w:rPr>
          <w:rFonts w:hint="eastAsia" w:ascii="Times New Roman" w:hAnsi="Times New Roman" w:eastAsia="宋体"/>
          <w:sz w:val="24"/>
          <w:szCs w:val="24"/>
        </w:rPr>
        <w:t>（支撑毕业要求1[师德规范]3[学科素养]）</w:t>
      </w:r>
      <w:r>
        <w:rPr>
          <w:rFonts w:hint="eastAsia" w:ascii="宋体" w:hAnsi="宋体"/>
          <w:sz w:val="24"/>
          <w:szCs w:val="24"/>
        </w:rPr>
        <w:t>；</w:t>
      </w:r>
    </w:p>
    <w:p>
      <w:pPr>
        <w:spacing w:before="156" w:beforeLines="50" w:line="400" w:lineRule="exact"/>
        <w:ind w:firstLine="480" w:firstLineChars="200"/>
        <w:contextualSpacing/>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2.具体理解“物质民俗”、“社会民俗”、“精神民俗”和“语言民俗”分类下各种类型民俗的定义、特征、功能及当今价值等（支撑毕业要求3[学科素养]7[学会反思]）；</w:t>
      </w:r>
    </w:p>
    <w:p>
      <w:pPr>
        <w:spacing w:before="156" w:beforeLines="50" w:line="400" w:lineRule="exact"/>
        <w:ind w:firstLine="480" w:firstLineChars="200"/>
        <w:contextualSpacing/>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了解或掌握中国民俗学史以及民俗学的研究方法（支撑毕业要求3[学科素养]7[学会反思]）；</w:t>
      </w:r>
    </w:p>
    <w:p>
      <w:pPr>
        <w:spacing w:before="156" w:beforeLines="50" w:line="400" w:lineRule="exact"/>
        <w:ind w:firstLine="480" w:firstLineChars="200"/>
        <w:contextualSpacing/>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指导学生利用假期间进行民俗文化的考察研究，鼓励学生采取立项课外科技创新项目等方式接触社会实地，考察民俗文化，并完成相应的学术论文成果（支撑毕业要求（7[学会反思]</w:t>
      </w:r>
      <w:r>
        <w:rPr>
          <w:rFonts w:ascii="Times New Roman" w:hAnsi="Times New Roman" w:cs="Times New Roman"/>
          <w:color w:val="000000" w:themeColor="text1"/>
          <w:sz w:val="24"/>
          <w:szCs w:val="24"/>
        </w:rPr>
        <w:t>8</w:t>
      </w:r>
      <w:r>
        <w:rPr>
          <w:rFonts w:hint="eastAsia" w:ascii="Times New Roman" w:hAnsi="Times New Roman" w:cs="Times New Roman"/>
          <w:color w:val="000000" w:themeColor="text1"/>
          <w:sz w:val="24"/>
          <w:szCs w:val="24"/>
        </w:rPr>
        <w:t>[沟通合作]）。</w:t>
      </w:r>
    </w:p>
    <w:p>
      <w:pPr>
        <w:spacing w:before="156" w:beforeLines="50" w:line="400" w:lineRule="exact"/>
        <w:ind w:firstLine="480" w:firstLineChars="200"/>
        <w:contextualSpacing/>
        <w:rPr>
          <w:rFonts w:ascii="Times New Roman" w:hAnsi="Times New Roman" w:cs="Times New Roman"/>
          <w:color w:val="000000" w:themeColor="text1"/>
          <w:sz w:val="24"/>
          <w:szCs w:val="24"/>
        </w:rPr>
      </w:pPr>
    </w:p>
    <w:p>
      <w:pPr>
        <w:spacing w:before="156" w:beforeLines="50" w:line="400" w:lineRule="exact"/>
        <w:contextualSpacing/>
        <w:rPr>
          <w:rFonts w:ascii="Times New Roman" w:hAnsi="Times New Roman" w:cs="Times New Roman" w:eastAsiaTheme="majorEastAsia"/>
          <w:b/>
          <w:bCs/>
          <w:sz w:val="30"/>
          <w:szCs w:val="30"/>
        </w:rPr>
      </w:pPr>
      <w:r>
        <w:rPr>
          <w:rFonts w:hint="eastAsia" w:ascii="Times New Roman" w:hAnsi="Times New Roman" w:cs="Times New Roman" w:eastAsiaTheme="majorEastAsia"/>
          <w:b/>
          <w:bCs/>
          <w:sz w:val="30"/>
          <w:szCs w:val="30"/>
        </w:rPr>
        <w:t>二、教学目标与毕业要求的对应关系</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961"/>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contextualSpacing/>
              <w:jc w:val="center"/>
              <w:rPr>
                <w:rFonts w:ascii="Times New Roman" w:hAnsi="Times New Roman" w:cs="Times New Roman"/>
                <w:b/>
                <w:szCs w:val="21"/>
              </w:rPr>
            </w:pPr>
            <w:r>
              <w:rPr>
                <w:rFonts w:ascii="Times New Roman" w:hAnsi="Times New Roman" w:cs="Times New Roman"/>
                <w:b/>
                <w:szCs w:val="21"/>
              </w:rPr>
              <w:t>毕业要求</w:t>
            </w:r>
          </w:p>
        </w:tc>
        <w:tc>
          <w:tcPr>
            <w:tcW w:w="4961" w:type="dxa"/>
            <w:vAlign w:val="center"/>
          </w:tcPr>
          <w:p>
            <w:pPr>
              <w:spacing w:line="400" w:lineRule="exact"/>
              <w:contextualSpacing/>
              <w:jc w:val="center"/>
              <w:rPr>
                <w:rFonts w:ascii="Times New Roman" w:hAnsi="Times New Roman" w:cs="Times New Roman"/>
                <w:b/>
                <w:szCs w:val="21"/>
              </w:rPr>
            </w:pPr>
            <w:r>
              <w:rPr>
                <w:rFonts w:ascii="Times New Roman" w:hAnsi="Times New Roman" w:cs="Times New Roman"/>
                <w:b/>
                <w:szCs w:val="21"/>
              </w:rPr>
              <w:t>指标点</w:t>
            </w:r>
          </w:p>
        </w:tc>
        <w:tc>
          <w:tcPr>
            <w:tcW w:w="1276" w:type="dxa"/>
            <w:vAlign w:val="center"/>
          </w:tcPr>
          <w:p>
            <w:pPr>
              <w:spacing w:line="400" w:lineRule="exact"/>
              <w:contextualSpacing/>
              <w:jc w:val="center"/>
              <w:rPr>
                <w:rFonts w:ascii="Times New Roman" w:hAnsi="Times New Roman" w:cs="Times New Roman"/>
                <w:b/>
                <w:szCs w:val="21"/>
              </w:rPr>
            </w:pPr>
            <w:r>
              <w:rPr>
                <w:rFonts w:ascii="Times New Roman" w:hAnsi="Times New Roman" w:cs="Times New Roman"/>
                <w:b/>
                <w:szCs w:val="21"/>
              </w:rPr>
              <w:t>课程目标</w:t>
            </w:r>
          </w:p>
        </w:tc>
        <w:tc>
          <w:tcPr>
            <w:tcW w:w="1984" w:type="dxa"/>
            <w:vAlign w:val="center"/>
          </w:tcPr>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对应关系说明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毕业要求1：师德规范</w:t>
            </w:r>
          </w:p>
        </w:tc>
        <w:tc>
          <w:tcPr>
            <w:tcW w:w="4961" w:type="dxa"/>
            <w:vAlign w:val="center"/>
          </w:tcPr>
          <w:p>
            <w:pPr>
              <w:adjustRightInd w:val="0"/>
              <w:snapToGrid w:val="0"/>
              <w:spacing w:line="300" w:lineRule="auto"/>
              <w:jc w:val="left"/>
              <w:rPr>
                <w:rFonts w:asciiTheme="minorEastAsia" w:hAnsiTheme="minorEastAsia"/>
                <w:szCs w:val="21"/>
              </w:rPr>
            </w:pPr>
            <w:r>
              <w:rPr>
                <w:rFonts w:hint="eastAsia" w:asciiTheme="minorEastAsia" w:hAnsiTheme="minorEastAsia"/>
                <w:szCs w:val="21"/>
              </w:rPr>
              <w:t>1-1具有正确的世界观、人生观，了解社会主义核心价值观的基本含义与意义，并努力践行，增进对中国特色社会主义的思想认同、政治认同、理论认同和情感认同。深入贯彻党的教育方针，坚持以立德树人为己任。</w:t>
            </w:r>
          </w:p>
          <w:p>
            <w:pPr>
              <w:spacing w:line="400" w:lineRule="exact"/>
              <w:contextualSpacing/>
              <w:jc w:val="left"/>
              <w:rPr>
                <w:rFonts w:asciiTheme="minorEastAsia" w:hAnsiTheme="minorEastAsia"/>
                <w:szCs w:val="21"/>
              </w:rPr>
            </w:pPr>
            <w:r>
              <w:rPr>
                <w:rFonts w:hint="eastAsia" w:asciiTheme="minorEastAsia" w:hAnsiTheme="minorEastAsia"/>
                <w:szCs w:val="21"/>
              </w:rPr>
              <w:t>1-2了解语文教师的职业性质和责任，具有良好的职业素质，在教学实践中遵守中小学教师职业道德规范，具有法律意识。</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1-4具有从教志向和信念，立志成为有理想信念、有道德情操、有扎实学识、有仁爱之心的好老师。</w:t>
            </w:r>
          </w:p>
        </w:tc>
        <w:tc>
          <w:tcPr>
            <w:tcW w:w="1276" w:type="dxa"/>
            <w:vAlign w:val="center"/>
          </w:tcPr>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课程目标1</w:t>
            </w:r>
          </w:p>
        </w:tc>
        <w:tc>
          <w:tcPr>
            <w:tcW w:w="1984" w:type="dxa"/>
            <w:vAlign w:val="center"/>
          </w:tcPr>
          <w:p>
            <w:pPr>
              <w:spacing w:line="400" w:lineRule="exact"/>
              <w:contextualSpacing/>
              <w:jc w:val="left"/>
              <w:rPr>
                <w:rFonts w:ascii="Times New Roman" w:hAnsi="Times New Roman" w:cs="Times New Roman"/>
                <w:szCs w:val="21"/>
              </w:rPr>
            </w:pPr>
            <w:r>
              <w:rPr>
                <w:rFonts w:hint="eastAsia" w:ascii="宋体" w:hAnsi="宋体"/>
                <w:szCs w:val="21"/>
              </w:rPr>
              <w:t>要求学生了解各类民俗的特点以及在当今的作用功能和表现形式。在此基础上，增强民族自信心和自豪感，弘扬民族优秀传统文化。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毕业要求3：学科素养</w:t>
            </w:r>
          </w:p>
        </w:tc>
        <w:tc>
          <w:tcPr>
            <w:tcW w:w="4961" w:type="dxa"/>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3-1系统掌握现代汉语、古代汉语、语言学等方面的知识，具有分析语言现象的能力。</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3-2系统掌握中国古代文学、现当代文学及外国文学等方面的知识，背诵经典古诗文，具有分析、解读多样经典文本能力。</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3-3掌握写作学、逻辑学等基本理论知识，具有较高语言素养，撰写各类文体的能力。</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3-4掌握文艺学、美学、文献学等基本理论知识，能够结合具体文学、美学现象展开分析，能够基于文献学基础展开文献整理。</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3-5具备基本人文社会科学知识，了解中国文化，能够具有跨学科知识，了解所教学科与其他学科的联系，了解所学学科与社会实践的联系。</w:t>
            </w:r>
          </w:p>
        </w:tc>
        <w:tc>
          <w:tcPr>
            <w:tcW w:w="1276" w:type="dxa"/>
            <w:vAlign w:val="center"/>
          </w:tcPr>
          <w:p>
            <w:pPr>
              <w:spacing w:line="400" w:lineRule="exact"/>
              <w:contextualSpacing/>
              <w:jc w:val="left"/>
              <w:rPr>
                <w:rFonts w:ascii="Times New Roman" w:hAnsi="Times New Roman" w:cs="Times New Roman"/>
                <w:b/>
                <w:szCs w:val="21"/>
              </w:rPr>
            </w:pPr>
            <w:r>
              <w:rPr>
                <w:rFonts w:hint="eastAsia" w:ascii="Times New Roman" w:hAnsi="Times New Roman" w:cs="Times New Roman"/>
                <w:b/>
                <w:szCs w:val="21"/>
              </w:rPr>
              <w:t>课程目标1课程目标2</w:t>
            </w:r>
          </w:p>
          <w:p>
            <w:pPr>
              <w:spacing w:line="400" w:lineRule="exact"/>
              <w:contextualSpacing/>
              <w:jc w:val="left"/>
              <w:rPr>
                <w:rFonts w:ascii="Times New Roman" w:hAnsi="Times New Roman" w:cs="Times New Roman"/>
                <w:b/>
                <w:szCs w:val="21"/>
              </w:rPr>
            </w:pPr>
            <w:r>
              <w:rPr>
                <w:rFonts w:hint="eastAsia" w:ascii="Times New Roman" w:hAnsi="Times New Roman" w:cs="Times New Roman"/>
                <w:b/>
                <w:szCs w:val="21"/>
              </w:rPr>
              <w:t>课程目标3</w:t>
            </w:r>
          </w:p>
        </w:tc>
        <w:tc>
          <w:tcPr>
            <w:tcW w:w="1984" w:type="dxa"/>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要求学生掌握中国民俗学的内容、历史和方法。而民俗学作为交叉性质学科，与文学、艺术学、历史学、宗教学、社会学等关系密切，多有相互融通、相互启发之处。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01" w:type="dxa"/>
            <w:tcMar>
              <w:left w:w="57" w:type="dxa"/>
              <w:right w:w="57" w:type="dxa"/>
            </w:tcMar>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毕业要求7：</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学会反思</w:t>
            </w:r>
          </w:p>
        </w:tc>
        <w:tc>
          <w:tcPr>
            <w:tcW w:w="4961" w:type="dxa"/>
            <w:vAlign w:val="center"/>
          </w:tcPr>
          <w:p>
            <w:pPr>
              <w:spacing w:line="400" w:lineRule="exact"/>
              <w:contextualSpacing/>
              <w:rPr>
                <w:rFonts w:ascii="Times New Roman" w:hAnsi="Times New Roman" w:cs="Times New Roman"/>
                <w:szCs w:val="21"/>
              </w:rPr>
            </w:pPr>
            <w:r>
              <w:rPr>
                <w:rFonts w:hint="eastAsia" w:ascii="Times New Roman" w:hAnsi="Times New Roman" w:cs="Times New Roman"/>
                <w:szCs w:val="21"/>
              </w:rPr>
              <w:t>7-1能够对学习内容展开反思，体现终身学习与专业发展的意识和能力。</w:t>
            </w:r>
          </w:p>
          <w:p>
            <w:pPr>
              <w:spacing w:line="400" w:lineRule="exact"/>
              <w:contextualSpacing/>
              <w:rPr>
                <w:rFonts w:ascii="Times New Roman" w:hAnsi="Times New Roman" w:cs="Times New Roman"/>
                <w:szCs w:val="21"/>
              </w:rPr>
            </w:pPr>
            <w:r>
              <w:rPr>
                <w:rFonts w:hint="eastAsia" w:ascii="Times New Roman" w:hAnsi="Times New Roman" w:cs="Times New Roman"/>
                <w:szCs w:val="21"/>
              </w:rPr>
              <w:t>7-3初步掌握反思方法和技能，具有一定创新意识，运用批判性思维方法，学会分析和解决学科问题和教育教学问题。</w:t>
            </w:r>
          </w:p>
        </w:tc>
        <w:tc>
          <w:tcPr>
            <w:tcW w:w="1276" w:type="dxa"/>
            <w:vAlign w:val="center"/>
          </w:tcPr>
          <w:p>
            <w:pPr>
              <w:spacing w:line="400" w:lineRule="exact"/>
              <w:contextualSpacing/>
              <w:jc w:val="center"/>
              <w:rPr>
                <w:rFonts w:ascii="Times New Roman" w:hAnsi="Times New Roman" w:cs="Times New Roman"/>
                <w:b/>
                <w:szCs w:val="21"/>
              </w:rPr>
            </w:pPr>
          </w:p>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课程</w:t>
            </w:r>
            <w:r>
              <w:rPr>
                <w:rFonts w:ascii="Times New Roman" w:hAnsi="Times New Roman" w:cs="Times New Roman"/>
                <w:b/>
                <w:szCs w:val="21"/>
              </w:rPr>
              <w:t>目标2</w:t>
            </w:r>
          </w:p>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课程目标</w:t>
            </w:r>
            <w:r>
              <w:rPr>
                <w:rFonts w:ascii="Times New Roman" w:hAnsi="Times New Roman" w:cs="Times New Roman"/>
                <w:b/>
                <w:szCs w:val="21"/>
              </w:rPr>
              <w:t>3</w:t>
            </w:r>
          </w:p>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课程目标4</w:t>
            </w:r>
          </w:p>
        </w:tc>
        <w:tc>
          <w:tcPr>
            <w:tcW w:w="1984" w:type="dxa"/>
            <w:vAlign w:val="center"/>
          </w:tcPr>
          <w:p>
            <w:pPr>
              <w:spacing w:line="400" w:lineRule="exact"/>
              <w:contextualSpacing/>
              <w:rPr>
                <w:rFonts w:ascii="Times New Roman" w:hAnsi="Times New Roman" w:cs="Times New Roman"/>
                <w:szCs w:val="21"/>
              </w:rPr>
            </w:pPr>
            <w:r>
              <w:rPr>
                <w:rFonts w:hint="eastAsia" w:ascii="Times New Roman" w:hAnsi="Times New Roman" w:cs="Times New Roman"/>
                <w:szCs w:val="21"/>
              </w:rPr>
              <w:t>民俗学无论从内容看还是方法看均丰富多彩，如能灵活运用，不但可以提升思维能力，而且对实践能力亦多有锻炼。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01" w:type="dxa"/>
            <w:tcMar>
              <w:left w:w="57" w:type="dxa"/>
              <w:right w:w="57" w:type="dxa"/>
            </w:tcMar>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毕业要求8：沟通合作</w:t>
            </w:r>
          </w:p>
        </w:tc>
        <w:tc>
          <w:tcPr>
            <w:tcW w:w="4961" w:type="dxa"/>
            <w:vAlign w:val="center"/>
          </w:tcPr>
          <w:p>
            <w:pPr>
              <w:spacing w:line="400" w:lineRule="exact"/>
              <w:contextualSpacing/>
              <w:rPr>
                <w:rFonts w:ascii="Times New Roman" w:hAnsi="Times New Roman" w:cs="Times New Roman"/>
                <w:szCs w:val="21"/>
              </w:rPr>
            </w:pPr>
            <w:r>
              <w:rPr>
                <w:rFonts w:hint="eastAsia" w:ascii="Times New Roman" w:hAnsi="Times New Roman" w:cs="Times New Roman"/>
                <w:szCs w:val="21"/>
              </w:rPr>
              <w:t>8-1能够承担团队中各人责任，独立完成团队分配的工作；同时具有组织和协作能力，能倾听团队成员意见，与团队成员共享信息，团结协作完成任务。</w:t>
            </w:r>
          </w:p>
          <w:p>
            <w:pPr>
              <w:spacing w:line="400" w:lineRule="exact"/>
              <w:contextualSpacing/>
              <w:rPr>
                <w:rFonts w:ascii="Times New Roman" w:hAnsi="Times New Roman" w:cs="Times New Roman"/>
                <w:szCs w:val="21"/>
              </w:rPr>
            </w:pPr>
            <w:r>
              <w:rPr>
                <w:rFonts w:hint="eastAsia" w:ascii="Times New Roman" w:hAnsi="Times New Roman" w:cs="Times New Roman"/>
                <w:szCs w:val="21"/>
              </w:rPr>
              <w:t>8-2能够理解学习共同体作用，针对复杂的汉语言文学学科问题与教师、同学、同行进行交流，具有小组互助和合作学习体验。</w:t>
            </w:r>
          </w:p>
          <w:p>
            <w:pPr>
              <w:spacing w:line="400" w:lineRule="exact"/>
              <w:contextualSpacing/>
              <w:rPr>
                <w:rFonts w:ascii="Times New Roman" w:hAnsi="Times New Roman" w:cs="Times New Roman"/>
                <w:szCs w:val="21"/>
              </w:rPr>
            </w:pPr>
            <w:r>
              <w:rPr>
                <w:rFonts w:hint="eastAsia" w:ascii="Times New Roman" w:hAnsi="Times New Roman" w:cs="Times New Roman"/>
                <w:szCs w:val="21"/>
              </w:rPr>
              <w:t>8-3能够理解团队协作精神，针对复杂教育教学、班级管理问题，展开小组互助和合作学习，并能提供合理的决策。</w:t>
            </w:r>
          </w:p>
        </w:tc>
        <w:tc>
          <w:tcPr>
            <w:tcW w:w="1276" w:type="dxa"/>
            <w:vAlign w:val="center"/>
          </w:tcPr>
          <w:p>
            <w:pPr>
              <w:spacing w:line="400" w:lineRule="exact"/>
              <w:contextualSpacing/>
              <w:jc w:val="center"/>
              <w:rPr>
                <w:rFonts w:ascii="Times New Roman" w:hAnsi="Times New Roman" w:cs="Times New Roman"/>
                <w:szCs w:val="21"/>
              </w:rPr>
            </w:pPr>
            <w:r>
              <w:rPr>
                <w:rFonts w:hint="eastAsia" w:ascii="Times New Roman" w:hAnsi="Times New Roman" w:cs="Times New Roman"/>
                <w:b/>
                <w:szCs w:val="21"/>
              </w:rPr>
              <w:t>课程目标</w:t>
            </w:r>
            <w:r>
              <w:rPr>
                <w:rFonts w:ascii="Times New Roman" w:hAnsi="Times New Roman" w:cs="Times New Roman"/>
                <w:b/>
                <w:szCs w:val="21"/>
              </w:rPr>
              <w:t>4</w:t>
            </w:r>
          </w:p>
        </w:tc>
        <w:tc>
          <w:tcPr>
            <w:tcW w:w="1984" w:type="dxa"/>
            <w:vAlign w:val="center"/>
          </w:tcPr>
          <w:p>
            <w:pPr>
              <w:spacing w:line="400" w:lineRule="exact"/>
              <w:contextualSpacing/>
              <w:rPr>
                <w:rFonts w:ascii="Times New Roman" w:hAnsi="Times New Roman" w:cs="Times New Roman"/>
                <w:szCs w:val="21"/>
              </w:rPr>
            </w:pPr>
            <w:r>
              <w:rPr>
                <w:rFonts w:hint="eastAsia" w:ascii="Times New Roman" w:hAnsi="Times New Roman" w:cs="Times New Roman"/>
                <w:szCs w:val="21"/>
              </w:rPr>
              <w:t>学生暑期社会实践中的民俗选题对于沟通合作能力的提升较有帮助。</w:t>
            </w:r>
          </w:p>
        </w:tc>
      </w:tr>
    </w:tbl>
    <w:p>
      <w:pPr>
        <w:pStyle w:val="3"/>
        <w:spacing w:before="240" w:after="0" w:line="400" w:lineRule="exact"/>
        <w:contextualSpacing/>
        <w:rPr>
          <w:rFonts w:ascii="Times New Roman" w:hAnsi="Times New Roman" w:cs="Times New Roman"/>
          <w:sz w:val="24"/>
          <w:szCs w:val="24"/>
        </w:rPr>
      </w:pPr>
      <w:r>
        <w:rPr>
          <w:rFonts w:hint="eastAsia" w:ascii="Times New Roman" w:hAnsi="Times New Roman" w:cs="Times New Roman"/>
          <w:sz w:val="30"/>
          <w:szCs w:val="30"/>
        </w:rPr>
        <w:t>三</w:t>
      </w:r>
      <w:r>
        <w:rPr>
          <w:rFonts w:ascii="Times New Roman" w:hAnsi="Times New Roman" w:cs="Times New Roman"/>
          <w:sz w:val="30"/>
          <w:szCs w:val="30"/>
        </w:rPr>
        <w:t>、课程教学内容</w:t>
      </w:r>
      <w:r>
        <w:rPr>
          <w:rFonts w:hint="eastAsia" w:ascii="Times New Roman" w:hAnsi="Times New Roman" w:cs="Times New Roman"/>
          <w:sz w:val="30"/>
          <w:szCs w:val="30"/>
        </w:rPr>
        <w:t>、重难点及</w:t>
      </w:r>
      <w:r>
        <w:rPr>
          <w:rFonts w:ascii="Times New Roman" w:hAnsi="Times New Roman" w:cs="Times New Roman"/>
          <w:sz w:val="30"/>
          <w:szCs w:val="30"/>
        </w:rPr>
        <w:t>学时分配</w:t>
      </w:r>
      <w:r>
        <w:rPr>
          <w:rFonts w:ascii="Times New Roman" w:hAnsi="Times New Roman" w:cs="Times New Roman"/>
          <w:sz w:val="24"/>
          <w:szCs w:val="24"/>
        </w:rPr>
        <w:t>（含课程教学、</w:t>
      </w:r>
      <w:r>
        <w:rPr>
          <w:rFonts w:hint="eastAsia" w:ascii="Times New Roman" w:hAnsi="Times New Roman" w:cs="Times New Roman"/>
          <w:sz w:val="24"/>
          <w:szCs w:val="24"/>
        </w:rPr>
        <w:t>学生学习</w:t>
      </w:r>
      <w:r>
        <w:rPr>
          <w:rFonts w:ascii="Times New Roman" w:hAnsi="Times New Roman" w:cs="Times New Roman"/>
          <w:sz w:val="24"/>
          <w:szCs w:val="24"/>
        </w:rPr>
        <w:t>等内容和要求，指明难点内容</w:t>
      </w:r>
      <w:r>
        <w:rPr>
          <w:rFonts w:hint="eastAsia" w:ascii="Times New Roman" w:hAnsi="Times New Roman" w:cs="Times New Roman"/>
          <w:sz w:val="24"/>
          <w:szCs w:val="24"/>
        </w:rPr>
        <w:t>。</w:t>
      </w:r>
      <w:r>
        <w:rPr>
          <w:rFonts w:ascii="Times New Roman" w:hAnsi="Times New Roman" w:cs="Times New Roman"/>
          <w:sz w:val="24"/>
          <w:szCs w:val="24"/>
        </w:rPr>
        <w:t>难点内容：∆）</w:t>
      </w:r>
    </w:p>
    <w:p/>
    <w:tbl>
      <w:tblPr>
        <w:tblStyle w:val="1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551"/>
        <w:gridCol w:w="2826"/>
        <w:gridCol w:w="5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112" w:type="dxa"/>
            <w:gridSpan w:val="2"/>
            <w:vAlign w:val="center"/>
          </w:tcPr>
          <w:p>
            <w:pPr>
              <w:spacing w:line="300" w:lineRule="exact"/>
              <w:jc w:val="center"/>
            </w:pPr>
            <w:r>
              <w:rPr>
                <w:rFonts w:hint="eastAsia"/>
              </w:rPr>
              <w:t>教学内容（难点内容：</w:t>
            </w:r>
            <w:r>
              <w:rPr>
                <w:b/>
              </w:rPr>
              <w:t>∆</w:t>
            </w:r>
            <w:r>
              <w:rPr>
                <w:rFonts w:hint="eastAsia"/>
              </w:rPr>
              <w:t>）</w:t>
            </w:r>
          </w:p>
        </w:tc>
        <w:tc>
          <w:tcPr>
            <w:tcW w:w="2826" w:type="dxa"/>
            <w:vAlign w:val="center"/>
          </w:tcPr>
          <w:p>
            <w:pPr>
              <w:spacing w:line="300" w:lineRule="exact"/>
              <w:jc w:val="center"/>
            </w:pPr>
            <w:r>
              <w:rPr>
                <w:rFonts w:hint="eastAsia"/>
              </w:rPr>
              <w:t>对学生要求</w:t>
            </w:r>
          </w:p>
        </w:tc>
        <w:tc>
          <w:tcPr>
            <w:tcW w:w="576" w:type="dxa"/>
            <w:vAlign w:val="center"/>
          </w:tcPr>
          <w:p>
            <w:pPr>
              <w:spacing w:line="300" w:lineRule="exact"/>
              <w:jc w:val="center"/>
            </w:pPr>
            <w:r>
              <w:rPr>
                <w:rFonts w:hint="eastAsia"/>
              </w:rPr>
              <w:t>课时</w:t>
            </w:r>
          </w:p>
        </w:tc>
        <w:tc>
          <w:tcPr>
            <w:tcW w:w="1701" w:type="dxa"/>
            <w:vAlign w:val="center"/>
          </w:tcPr>
          <w:p>
            <w:pPr>
              <w:spacing w:line="300" w:lineRule="exact"/>
              <w:jc w:val="center"/>
            </w:pPr>
            <w:r>
              <w:rPr>
                <w:rFonts w:hint="eastAsia"/>
              </w:rPr>
              <w:t>对应课程目标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第一章</w:t>
            </w:r>
          </w:p>
          <w:p>
            <w:pPr>
              <w:spacing w:line="300" w:lineRule="exact"/>
              <w:jc w:val="center"/>
              <w:rPr>
                <w:rFonts w:asciiTheme="minorEastAsia" w:hAnsiTheme="minorEastAsia"/>
                <w:sz w:val="22"/>
              </w:rPr>
            </w:pPr>
            <w:r>
              <w:rPr>
                <w:rFonts w:hint="eastAsia" w:asciiTheme="minorEastAsia" w:hAnsiTheme="minorEastAsia"/>
                <w:sz w:val="22"/>
                <w:szCs w:val="21"/>
              </w:rPr>
              <w:t>绪论</w:t>
            </w:r>
          </w:p>
        </w:tc>
        <w:tc>
          <w:tcPr>
            <w:tcW w:w="2551" w:type="dxa"/>
            <w:vAlign w:val="center"/>
          </w:tcPr>
          <w:p>
            <w:pPr>
              <w:spacing w:line="300" w:lineRule="exact"/>
              <w:jc w:val="left"/>
              <w:rPr>
                <w:rFonts w:asciiTheme="minorEastAsia" w:hAnsiTheme="minorEastAsia"/>
                <w:b w:val="0"/>
                <w:sz w:val="22"/>
                <w:szCs w:val="21"/>
              </w:rPr>
            </w:pPr>
            <w:r>
              <w:rPr>
                <w:rFonts w:asciiTheme="minorEastAsia" w:hAnsiTheme="minorEastAsia"/>
                <w:b w:val="0"/>
                <w:sz w:val="22"/>
                <w:szCs w:val="21"/>
              </w:rPr>
              <w:t>1.</w:t>
            </w:r>
            <w:r>
              <w:rPr>
                <w:rFonts w:hint="eastAsia" w:asciiTheme="minorEastAsia" w:hAnsiTheme="minorEastAsia"/>
                <w:b w:val="0"/>
                <w:sz w:val="22"/>
                <w:szCs w:val="21"/>
              </w:rPr>
              <w:t>民俗的概念、民俗的基本特征和社会功能</w:t>
            </w:r>
          </w:p>
          <w:p>
            <w:pPr>
              <w:spacing w:line="300" w:lineRule="exact"/>
              <w:jc w:val="left"/>
              <w:rPr>
                <w:rFonts w:asciiTheme="minorEastAsia" w:hAnsiTheme="minorEastAsia"/>
                <w:sz w:val="22"/>
                <w:szCs w:val="21"/>
              </w:rPr>
            </w:pPr>
            <w:r>
              <w:rPr>
                <w:rFonts w:asciiTheme="minorEastAsia" w:hAnsiTheme="minorEastAsia"/>
                <w:b w:val="0"/>
                <w:sz w:val="22"/>
                <w:szCs w:val="21"/>
              </w:rPr>
              <w:t>2.</w:t>
            </w:r>
            <w:r>
              <w:rPr>
                <w:rFonts w:hint="eastAsia" w:asciiTheme="minorEastAsia" w:hAnsiTheme="minorEastAsia"/>
                <w:b w:val="0"/>
                <w:sz w:val="22"/>
                <w:szCs w:val="21"/>
              </w:rPr>
              <w:t>民俗的基本特征</w:t>
            </w:r>
            <w:r>
              <w:rPr>
                <w:rFonts w:ascii="微软雅黑" w:hAnsi="微软雅黑" w:eastAsia="微软雅黑" w:cs="微软雅黑"/>
                <w:b w:val="0"/>
                <w:sz w:val="22"/>
                <w:szCs w:val="21"/>
              </w:rPr>
              <w:t>∆</w:t>
            </w:r>
          </w:p>
        </w:tc>
        <w:tc>
          <w:tcPr>
            <w:tcW w:w="2826"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1.正确理解民俗与民俗学的概念</w:t>
            </w:r>
          </w:p>
          <w:p>
            <w:pPr>
              <w:spacing w:line="300" w:lineRule="exact"/>
              <w:jc w:val="left"/>
              <w:rPr>
                <w:rFonts w:asciiTheme="minorEastAsia" w:hAnsiTheme="minorEastAsia"/>
                <w:sz w:val="22"/>
                <w:szCs w:val="21"/>
              </w:rPr>
            </w:pPr>
            <w:r>
              <w:rPr>
                <w:rFonts w:hint="eastAsia" w:asciiTheme="minorEastAsia" w:hAnsiTheme="minorEastAsia"/>
                <w:sz w:val="22"/>
                <w:szCs w:val="21"/>
              </w:rPr>
              <w:t>2.了解中国民俗学的产生与发展</w:t>
            </w:r>
          </w:p>
          <w:p>
            <w:pPr>
              <w:spacing w:line="300" w:lineRule="exact"/>
              <w:jc w:val="left"/>
              <w:rPr>
                <w:rFonts w:cs="黑体" w:asciiTheme="minorEastAsia" w:hAnsiTheme="minorEastAsia"/>
                <w:sz w:val="22"/>
                <w:szCs w:val="21"/>
                <w:lang w:val="zh-CN"/>
              </w:rPr>
            </w:pPr>
            <w:r>
              <w:rPr>
                <w:rFonts w:hint="eastAsia" w:asciiTheme="minorEastAsia" w:hAnsiTheme="minorEastAsia"/>
                <w:sz w:val="22"/>
                <w:szCs w:val="21"/>
              </w:rPr>
              <w:t>3.掌握民俗的基本特征和社会功能</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第二章</w:t>
            </w:r>
          </w:p>
          <w:p>
            <w:pPr>
              <w:spacing w:line="300" w:lineRule="exact"/>
              <w:jc w:val="center"/>
              <w:rPr>
                <w:rFonts w:asciiTheme="minorEastAsia" w:hAnsiTheme="minorEastAsia"/>
                <w:sz w:val="22"/>
              </w:rPr>
            </w:pPr>
            <w:r>
              <w:rPr>
                <w:rFonts w:hint="eastAsia" w:asciiTheme="minorEastAsia" w:hAnsiTheme="minorEastAsia"/>
                <w:sz w:val="22"/>
                <w:szCs w:val="21"/>
              </w:rPr>
              <w:t>物质生产民俗</w:t>
            </w:r>
          </w:p>
        </w:tc>
        <w:tc>
          <w:tcPr>
            <w:tcW w:w="2551" w:type="dxa"/>
            <w:vAlign w:val="center"/>
          </w:tcPr>
          <w:p>
            <w:pPr>
              <w:spacing w:line="300" w:lineRule="exact"/>
              <w:jc w:val="left"/>
              <w:rPr>
                <w:rFonts w:asciiTheme="minorEastAsia" w:hAnsiTheme="minorEastAsia"/>
                <w:b w:val="0"/>
                <w:sz w:val="22"/>
                <w:szCs w:val="21"/>
              </w:rPr>
            </w:pPr>
            <w:r>
              <w:rPr>
                <w:rFonts w:asciiTheme="minorEastAsia" w:hAnsiTheme="minorEastAsia"/>
                <w:b w:val="0"/>
                <w:sz w:val="22"/>
                <w:szCs w:val="21"/>
              </w:rPr>
              <w:t>1.</w:t>
            </w:r>
            <w:r>
              <w:rPr>
                <w:rFonts w:hint="eastAsia" w:asciiTheme="minorEastAsia" w:hAnsiTheme="minorEastAsia"/>
                <w:b w:val="0"/>
                <w:sz w:val="22"/>
                <w:szCs w:val="21"/>
              </w:rPr>
              <w:t>物质生产民俗的概念、行业生产民俗事项及其分析</w:t>
            </w:r>
          </w:p>
          <w:p>
            <w:pPr>
              <w:spacing w:line="300" w:lineRule="exact"/>
              <w:jc w:val="left"/>
              <w:rPr>
                <w:rFonts w:asciiTheme="minorEastAsia" w:hAnsiTheme="minorEastAsia"/>
                <w:sz w:val="22"/>
                <w:szCs w:val="21"/>
              </w:rPr>
            </w:pPr>
            <w:r>
              <w:rPr>
                <w:rFonts w:asciiTheme="minorEastAsia" w:hAnsiTheme="minorEastAsia"/>
                <w:b w:val="0"/>
                <w:sz w:val="22"/>
                <w:szCs w:val="21"/>
              </w:rPr>
              <w:t>2.</w:t>
            </w:r>
            <w:r>
              <w:rPr>
                <w:rFonts w:hint="eastAsia" w:asciiTheme="minorEastAsia" w:hAnsiTheme="minorEastAsia"/>
                <w:b w:val="0"/>
                <w:sz w:val="22"/>
                <w:szCs w:val="21"/>
              </w:rPr>
              <w:t>行业生产民俗事项及其分析</w:t>
            </w:r>
            <w:r>
              <w:rPr>
                <w:rFonts w:hint="eastAsia" w:ascii="微软雅黑" w:hAnsi="微软雅黑" w:eastAsia="微软雅黑" w:cs="微软雅黑"/>
                <w:sz w:val="22"/>
                <w:szCs w:val="21"/>
              </w:rPr>
              <w:t>∆</w:t>
            </w:r>
          </w:p>
        </w:tc>
        <w:tc>
          <w:tcPr>
            <w:tcW w:w="2826" w:type="dxa"/>
            <w:vAlign w:val="center"/>
          </w:tcPr>
          <w:p>
            <w:pPr>
              <w:spacing w:line="300" w:lineRule="exact"/>
              <w:rPr>
                <w:rFonts w:asciiTheme="minorEastAsia" w:hAnsiTheme="minorEastAsia"/>
                <w:sz w:val="22"/>
                <w:szCs w:val="21"/>
              </w:rPr>
            </w:pPr>
            <w:r>
              <w:rPr>
                <w:rFonts w:hint="eastAsia" w:asciiTheme="minorEastAsia" w:hAnsiTheme="minorEastAsia"/>
                <w:sz w:val="22"/>
                <w:szCs w:val="21"/>
              </w:rPr>
              <w:t>1.正确理解物质生产民俗的概念</w:t>
            </w:r>
          </w:p>
          <w:p>
            <w:pPr>
              <w:spacing w:line="300" w:lineRule="exact"/>
              <w:rPr>
                <w:rFonts w:asciiTheme="minorEastAsia" w:hAnsiTheme="minorEastAsia"/>
                <w:sz w:val="22"/>
                <w:szCs w:val="21"/>
              </w:rPr>
            </w:pPr>
            <w:r>
              <w:rPr>
                <w:rFonts w:hint="eastAsia" w:asciiTheme="minorEastAsia" w:hAnsiTheme="minorEastAsia"/>
                <w:sz w:val="22"/>
                <w:szCs w:val="21"/>
              </w:rPr>
              <w:t>2.了解农业生产民俗事项、渔业生产民俗事项、牧业生产民俗事项</w:t>
            </w:r>
          </w:p>
          <w:p>
            <w:pPr>
              <w:spacing w:line="300" w:lineRule="exact"/>
              <w:rPr>
                <w:rFonts w:asciiTheme="minorEastAsia" w:hAnsiTheme="minorEastAsia"/>
                <w:sz w:val="22"/>
                <w:szCs w:val="21"/>
              </w:rPr>
            </w:pPr>
            <w:r>
              <w:rPr>
                <w:rFonts w:hint="eastAsia" w:asciiTheme="minorEastAsia" w:hAnsiTheme="minorEastAsia"/>
                <w:sz w:val="22"/>
                <w:szCs w:val="21"/>
              </w:rPr>
              <w:t>3.了解行业生产民俗事项及其特点</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2</w:t>
            </w:r>
          </w:p>
        </w:tc>
        <w:tc>
          <w:tcPr>
            <w:tcW w:w="170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支撑课程目标</w:t>
            </w:r>
          </w:p>
          <w:p>
            <w:pPr>
              <w:spacing w:line="300" w:lineRule="exact"/>
              <w:jc w:val="center"/>
              <w:rPr>
                <w:rFonts w:asciiTheme="minorEastAsia" w:hAnsiTheme="minorEastAsia"/>
                <w:sz w:val="22"/>
              </w:rPr>
            </w:pP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第三章</w:t>
            </w:r>
          </w:p>
          <w:p>
            <w:pPr>
              <w:spacing w:line="300" w:lineRule="exact"/>
              <w:jc w:val="center"/>
              <w:rPr>
                <w:rFonts w:asciiTheme="minorEastAsia" w:hAnsiTheme="minorEastAsia"/>
                <w:sz w:val="22"/>
              </w:rPr>
            </w:pPr>
            <w:r>
              <w:rPr>
                <w:rFonts w:hint="eastAsia" w:asciiTheme="minorEastAsia" w:hAnsiTheme="minorEastAsia"/>
                <w:sz w:val="22"/>
                <w:szCs w:val="21"/>
              </w:rPr>
              <w:t>物质生活民俗</w:t>
            </w:r>
          </w:p>
        </w:tc>
        <w:tc>
          <w:tcPr>
            <w:tcW w:w="2551" w:type="dxa"/>
            <w:vAlign w:val="center"/>
          </w:tcPr>
          <w:p>
            <w:pPr>
              <w:spacing w:line="300" w:lineRule="exact"/>
              <w:jc w:val="left"/>
              <w:rPr>
                <w:rFonts w:asciiTheme="minorEastAsia" w:hAnsiTheme="minorEastAsia"/>
                <w:b w:val="0"/>
                <w:sz w:val="22"/>
                <w:szCs w:val="21"/>
              </w:rPr>
            </w:pPr>
            <w:r>
              <w:rPr>
                <w:rFonts w:asciiTheme="minorEastAsia" w:hAnsiTheme="minorEastAsia"/>
                <w:b w:val="0"/>
                <w:sz w:val="22"/>
                <w:szCs w:val="21"/>
              </w:rPr>
              <w:t>1.</w:t>
            </w:r>
            <w:r>
              <w:rPr>
                <w:rFonts w:hint="eastAsia" w:asciiTheme="minorEastAsia" w:hAnsiTheme="minorEastAsia"/>
                <w:b w:val="0"/>
                <w:sz w:val="22"/>
                <w:szCs w:val="21"/>
              </w:rPr>
              <w:t>服饰、饮食、交通、居住、民间美术等民俗事项及其特点</w:t>
            </w:r>
          </w:p>
          <w:p>
            <w:pPr>
              <w:spacing w:line="300" w:lineRule="exact"/>
              <w:jc w:val="left"/>
              <w:rPr>
                <w:rFonts w:asciiTheme="minorEastAsia" w:hAnsiTheme="minorEastAsia"/>
                <w:sz w:val="22"/>
                <w:szCs w:val="21"/>
              </w:rPr>
            </w:pPr>
            <w:r>
              <w:rPr>
                <w:rFonts w:asciiTheme="minorEastAsia" w:hAnsiTheme="minorEastAsia"/>
                <w:b w:val="0"/>
                <w:sz w:val="22"/>
                <w:szCs w:val="21"/>
              </w:rPr>
              <w:t>2.</w:t>
            </w:r>
            <w:r>
              <w:rPr>
                <w:rFonts w:hint="eastAsia" w:asciiTheme="minorEastAsia" w:hAnsiTheme="minorEastAsia"/>
                <w:b w:val="0"/>
                <w:sz w:val="22"/>
                <w:szCs w:val="21"/>
              </w:rPr>
              <w:t>民间美术与民俗之间的关系</w:t>
            </w:r>
            <w:r>
              <w:rPr>
                <w:rFonts w:ascii="微软雅黑" w:hAnsi="微软雅黑" w:eastAsia="微软雅黑" w:cs="微软雅黑"/>
                <w:b w:val="0"/>
                <w:sz w:val="22"/>
                <w:szCs w:val="21"/>
              </w:rPr>
              <w:t>∆</w:t>
            </w:r>
          </w:p>
        </w:tc>
        <w:tc>
          <w:tcPr>
            <w:tcW w:w="2826"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1.正确理解物质生活民俗的概念及其包含的内容</w:t>
            </w:r>
          </w:p>
          <w:p>
            <w:pPr>
              <w:spacing w:line="300" w:lineRule="exact"/>
              <w:jc w:val="left"/>
              <w:rPr>
                <w:rFonts w:asciiTheme="minorEastAsia" w:hAnsiTheme="minorEastAsia"/>
                <w:sz w:val="22"/>
                <w:szCs w:val="21"/>
              </w:rPr>
            </w:pPr>
            <w:r>
              <w:rPr>
                <w:rFonts w:hint="eastAsia" w:asciiTheme="minorEastAsia" w:hAnsiTheme="minorEastAsia"/>
                <w:sz w:val="22"/>
                <w:szCs w:val="21"/>
              </w:rPr>
              <w:t>2.了解服饰、饮食、交通、居住、民间美术等民俗事项及其特点</w:t>
            </w:r>
          </w:p>
          <w:p>
            <w:pPr>
              <w:spacing w:line="300" w:lineRule="exact"/>
              <w:jc w:val="left"/>
              <w:rPr>
                <w:rFonts w:asciiTheme="minorEastAsia" w:hAnsiTheme="minorEastAsia"/>
                <w:sz w:val="22"/>
                <w:szCs w:val="21"/>
              </w:rPr>
            </w:pPr>
            <w:r>
              <w:rPr>
                <w:rFonts w:hint="eastAsia" w:asciiTheme="minorEastAsia" w:hAnsiTheme="minorEastAsia"/>
                <w:sz w:val="22"/>
                <w:szCs w:val="21"/>
              </w:rPr>
              <w:t>3.了解物质生活民俗与现代艺术设计的关系</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第四章</w:t>
            </w:r>
          </w:p>
          <w:p>
            <w:pPr>
              <w:spacing w:line="300" w:lineRule="exact"/>
              <w:jc w:val="center"/>
              <w:rPr>
                <w:rFonts w:asciiTheme="minorEastAsia" w:hAnsiTheme="minorEastAsia"/>
                <w:sz w:val="22"/>
              </w:rPr>
            </w:pPr>
            <w:r>
              <w:rPr>
                <w:rFonts w:hint="eastAsia" w:asciiTheme="minorEastAsia" w:hAnsiTheme="minorEastAsia"/>
                <w:sz w:val="22"/>
                <w:szCs w:val="21"/>
              </w:rPr>
              <w:t>社会组织民俗</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宗族组织的组织要素、组织结构和民俗活动</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宗族组织存在的利与弊</w:t>
            </w:r>
            <w:r>
              <w:rPr>
                <w:rFonts w:hint="eastAsia" w:ascii="微软雅黑" w:hAnsi="微软雅黑" w:eastAsia="微软雅黑" w:cs="微软雅黑"/>
                <w:sz w:val="22"/>
                <w:szCs w:val="21"/>
              </w:rPr>
              <w:t>∆</w:t>
            </w:r>
          </w:p>
        </w:tc>
        <w:tc>
          <w:tcPr>
            <w:tcW w:w="2826"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1.了解宗族组织民俗的组织要素、组织结构和宗族成员参与的民俗活动</w:t>
            </w:r>
          </w:p>
          <w:p>
            <w:pPr>
              <w:spacing w:line="300" w:lineRule="exact"/>
              <w:jc w:val="left"/>
              <w:rPr>
                <w:rFonts w:asciiTheme="minorEastAsia" w:hAnsiTheme="minorEastAsia"/>
                <w:sz w:val="22"/>
                <w:szCs w:val="21"/>
              </w:rPr>
            </w:pPr>
            <w:r>
              <w:rPr>
                <w:rFonts w:hint="eastAsia" w:asciiTheme="minorEastAsia" w:hAnsiTheme="minorEastAsia"/>
                <w:sz w:val="22"/>
                <w:szCs w:val="21"/>
              </w:rPr>
              <w:t>2.了解行会、民间秘密宗教组织、民间秘密结社、社区组织</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第五章</w:t>
            </w:r>
          </w:p>
          <w:p>
            <w:pPr>
              <w:spacing w:line="300" w:lineRule="exact"/>
              <w:jc w:val="center"/>
              <w:rPr>
                <w:rFonts w:asciiTheme="minorEastAsia" w:hAnsiTheme="minorEastAsia"/>
                <w:sz w:val="22"/>
              </w:rPr>
            </w:pPr>
            <w:r>
              <w:rPr>
                <w:rFonts w:hint="eastAsia" w:asciiTheme="minorEastAsia" w:hAnsiTheme="minorEastAsia"/>
                <w:sz w:val="22"/>
                <w:szCs w:val="21"/>
              </w:rPr>
              <w:t>岁时节日民俗</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岁时节日民俗事项、岁时节日民俗的起源</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岁时节日民俗的起源和现代意义</w:t>
            </w:r>
            <w:r>
              <w:rPr>
                <w:rFonts w:hint="eastAsia" w:ascii="微软雅黑" w:hAnsi="微软雅黑" w:eastAsia="微软雅黑" w:cs="微软雅黑"/>
                <w:sz w:val="22"/>
                <w:szCs w:val="21"/>
              </w:rPr>
              <w:t>∆</w:t>
            </w:r>
          </w:p>
        </w:tc>
        <w:tc>
          <w:tcPr>
            <w:tcW w:w="2826"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1.了解岁时节日民俗的概念及其包含的内容</w:t>
            </w:r>
          </w:p>
          <w:p>
            <w:pPr>
              <w:spacing w:line="300" w:lineRule="exact"/>
              <w:jc w:val="left"/>
              <w:rPr>
                <w:rFonts w:asciiTheme="minorEastAsia" w:hAnsiTheme="minorEastAsia"/>
                <w:sz w:val="22"/>
                <w:szCs w:val="21"/>
              </w:rPr>
            </w:pPr>
            <w:r>
              <w:rPr>
                <w:rFonts w:hint="eastAsia" w:asciiTheme="minorEastAsia" w:hAnsiTheme="minorEastAsia"/>
                <w:sz w:val="22"/>
                <w:szCs w:val="21"/>
              </w:rPr>
              <w:t>2.了解岁时节日民俗事项</w:t>
            </w:r>
          </w:p>
          <w:p>
            <w:pPr>
              <w:spacing w:line="300" w:lineRule="exact"/>
              <w:jc w:val="left"/>
              <w:rPr>
                <w:rFonts w:asciiTheme="minorEastAsia" w:hAnsiTheme="minorEastAsia"/>
                <w:sz w:val="22"/>
                <w:szCs w:val="21"/>
              </w:rPr>
            </w:pPr>
            <w:r>
              <w:rPr>
                <w:rFonts w:hint="eastAsia" w:asciiTheme="minorEastAsia" w:hAnsiTheme="minorEastAsia"/>
                <w:sz w:val="22"/>
                <w:szCs w:val="21"/>
              </w:rPr>
              <w:t>3.掌握岁时节日民俗的起源和现代意义</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第六章</w:t>
            </w:r>
          </w:p>
          <w:p>
            <w:pPr>
              <w:spacing w:line="300" w:lineRule="exact"/>
              <w:jc w:val="center"/>
              <w:rPr>
                <w:rFonts w:asciiTheme="minorEastAsia" w:hAnsiTheme="minorEastAsia"/>
                <w:sz w:val="22"/>
              </w:rPr>
            </w:pPr>
            <w:r>
              <w:rPr>
                <w:rFonts w:hint="eastAsia" w:asciiTheme="minorEastAsia" w:hAnsiTheme="minorEastAsia"/>
                <w:sz w:val="22"/>
                <w:szCs w:val="21"/>
              </w:rPr>
              <w:t>人生礼仪</w:t>
            </w:r>
          </w:p>
        </w:tc>
        <w:tc>
          <w:tcPr>
            <w:tcW w:w="2551" w:type="dxa"/>
            <w:vAlign w:val="center"/>
          </w:tcPr>
          <w:p>
            <w:pPr>
              <w:spacing w:line="300" w:lineRule="exact"/>
              <w:jc w:val="left"/>
              <w:rPr>
                <w:rFonts w:asciiTheme="minorEastAsia" w:hAnsiTheme="minorEastAsia"/>
                <w:sz w:val="22"/>
                <w:szCs w:val="21"/>
              </w:rPr>
            </w:pPr>
            <w:r>
              <w:rPr>
                <w:rFonts w:asciiTheme="minorEastAsia" w:hAnsiTheme="minorEastAsia"/>
                <w:sz w:val="22"/>
                <w:szCs w:val="21"/>
              </w:rPr>
              <w:t>1.</w:t>
            </w:r>
            <w:r>
              <w:rPr>
                <w:rFonts w:hint="eastAsia" w:asciiTheme="minorEastAsia" w:hAnsiTheme="minorEastAsia"/>
                <w:sz w:val="22"/>
                <w:szCs w:val="21"/>
              </w:rPr>
              <w:t>人生礼仪的概念、功能</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婚礼、葬礼的社会功能分析</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1.正确理解人生礼仪的概念、功能</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2.了解人生礼仪不同民俗事项的特点及其功能</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第七章</w:t>
            </w:r>
          </w:p>
          <w:p>
            <w:pPr>
              <w:spacing w:line="300" w:lineRule="exact"/>
              <w:jc w:val="center"/>
              <w:rPr>
                <w:rFonts w:asciiTheme="minorEastAsia" w:hAnsiTheme="minorEastAsia"/>
                <w:sz w:val="22"/>
                <w:szCs w:val="21"/>
              </w:rPr>
            </w:pPr>
            <w:r>
              <w:rPr>
                <w:rFonts w:hint="eastAsia" w:asciiTheme="minorEastAsia" w:hAnsiTheme="minorEastAsia"/>
                <w:sz w:val="22"/>
                <w:szCs w:val="21"/>
              </w:rPr>
              <w:t>民俗信仰</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介绍我国民间信仰的基本形态</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理解当代民众对于民间宗教的需求心理</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介绍民间信仰的对象和特点，民俗学研究民间信仰的领域和课题。</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如民间宗教与民众精神世界的互构关系，民间宗教的地方传承和变迁式，以及民间宗教与日常生活的关系</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第八章</w:t>
            </w:r>
          </w:p>
          <w:p>
            <w:pPr>
              <w:spacing w:line="300" w:lineRule="exact"/>
              <w:jc w:val="center"/>
              <w:rPr>
                <w:rFonts w:asciiTheme="minorEastAsia" w:hAnsiTheme="minorEastAsia"/>
                <w:sz w:val="22"/>
                <w:szCs w:val="21"/>
              </w:rPr>
            </w:pPr>
            <w:r>
              <w:rPr>
                <w:rFonts w:hint="eastAsia" w:asciiTheme="minorEastAsia" w:hAnsiTheme="minorEastAsia"/>
                <w:sz w:val="22"/>
                <w:szCs w:val="21"/>
              </w:rPr>
              <w:t>民间科学技术</w:t>
            </w:r>
          </w:p>
        </w:tc>
        <w:tc>
          <w:tcPr>
            <w:tcW w:w="2551" w:type="dxa"/>
            <w:vAlign w:val="center"/>
          </w:tcPr>
          <w:p>
            <w:pPr>
              <w:spacing w:line="300" w:lineRule="exact"/>
              <w:jc w:val="left"/>
              <w:rPr>
                <w:rFonts w:asciiTheme="minorEastAsia" w:hAnsiTheme="minorEastAsia"/>
                <w:sz w:val="22"/>
                <w:szCs w:val="21"/>
              </w:rPr>
            </w:pPr>
            <w:r>
              <w:rPr>
                <w:rFonts w:asciiTheme="minorEastAsia" w:hAnsiTheme="minorEastAsia"/>
                <w:sz w:val="22"/>
                <w:szCs w:val="21"/>
              </w:rPr>
              <w:t>1.</w:t>
            </w:r>
            <w:r>
              <w:rPr>
                <w:rFonts w:hint="eastAsia" w:asciiTheme="minorEastAsia" w:hAnsiTheme="minorEastAsia"/>
                <w:sz w:val="22"/>
                <w:szCs w:val="21"/>
              </w:rPr>
              <w:t>民间医学的基本特征</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中国古代民间科学技术的门类</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1.了解民间科学知识和工艺技术的形成与发展</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2.了解传统医学体系和基础理论（本草学、针灸疗法和咒禁疗法）</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第九章</w:t>
            </w:r>
          </w:p>
          <w:p>
            <w:pPr>
              <w:spacing w:line="300" w:lineRule="exact"/>
              <w:jc w:val="center"/>
              <w:rPr>
                <w:rFonts w:asciiTheme="minorEastAsia" w:hAnsiTheme="minorEastAsia"/>
                <w:sz w:val="22"/>
                <w:szCs w:val="21"/>
              </w:rPr>
            </w:pPr>
            <w:r>
              <w:rPr>
                <w:rFonts w:hint="eastAsia" w:asciiTheme="minorEastAsia" w:hAnsiTheme="minorEastAsia"/>
                <w:sz w:val="22"/>
                <w:szCs w:val="21"/>
              </w:rPr>
              <w:t>民间口头文学（上）</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讲解手机短信和网络文学等当代民间文学样式</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国外民间文学最新理论理解</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1.以民间文学作品为例，分析民俗文化的传统形态和现代变迁</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2.要求掌握当前民俗学研究中民间文学的热点问题和识记关键概念</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w:t>
            </w:r>
            <w:r>
              <w:rPr>
                <w:rFonts w:asciiTheme="minorEastAsia" w:hAnsiTheme="minorEastAsia"/>
                <w:sz w:val="22"/>
              </w:rPr>
              <w:t>2</w:t>
            </w:r>
            <w:r>
              <w:rPr>
                <w:rFonts w:hint="eastAsia" w:asciiTheme="minorEastAsia" w:hAnsiTheme="minorEastAsia"/>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第十章</w:t>
            </w:r>
          </w:p>
          <w:p>
            <w:pPr>
              <w:spacing w:line="300" w:lineRule="exact"/>
              <w:jc w:val="center"/>
              <w:rPr>
                <w:rFonts w:asciiTheme="minorEastAsia" w:hAnsiTheme="minorEastAsia"/>
                <w:sz w:val="22"/>
                <w:szCs w:val="21"/>
              </w:rPr>
            </w:pPr>
            <w:r>
              <w:rPr>
                <w:rFonts w:hint="eastAsia" w:asciiTheme="minorEastAsia" w:hAnsiTheme="minorEastAsia"/>
                <w:sz w:val="22"/>
                <w:szCs w:val="21"/>
              </w:rPr>
              <w:t>民间口头文学（下）</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民间文学的功能、传承方式</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民间文学与作家文学的关系</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1.掌握民间文学的概念与特征</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2.了解民间文学的功能</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3.了解民间文学的传承方式</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第十一章民间语言</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民间语言的性质</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民间语言与其它民俗的交叉研究</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1.了解民间语言的性质</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2.了解常用型民间熟语</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3.了解特用型民间熟语</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第十二章民间艺术</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民间戏曲的类型；民间舞蹈的表演特征和社会功能</w:t>
            </w:r>
          </w:p>
          <w:p>
            <w:pPr>
              <w:spacing w:line="300" w:lineRule="exact"/>
              <w:jc w:val="left"/>
              <w:rPr>
                <w:rFonts w:asciiTheme="minorEastAsia" w:hAnsiTheme="minorEastAsia"/>
                <w:b/>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民间戏曲与岁节礼俗的关系</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1.了解民间音乐、民间歌曲、民间歌舞、民间器乐、民间说唱音乐和民间戏曲音乐</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2.了解民间工艺美术</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第十三章民间游戏娱乐</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对儿童游戏做较为详细深入地讲述，并探讨其当代社会价值</w:t>
            </w:r>
          </w:p>
          <w:p>
            <w:pPr>
              <w:spacing w:line="300" w:lineRule="exact"/>
              <w:jc w:val="left"/>
              <w:rPr>
                <w:rFonts w:asciiTheme="minorEastAsia" w:hAnsiTheme="minorEastAsia"/>
                <w:b/>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传统儿童游戏与现代游戏机之间的关联性，及其如何区分看待</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主要介绍传统民间游戏和竞技类型，分析民间竞技和游戏的作用</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第十四章中国民俗学史略</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近代启蒙民俗思想的产生与历史意义</w:t>
            </w:r>
          </w:p>
          <w:p>
            <w:pPr>
              <w:spacing w:line="300" w:lineRule="exact"/>
              <w:jc w:val="left"/>
              <w:rPr>
                <w:rFonts w:asciiTheme="minorEastAsia" w:hAnsiTheme="minorEastAsia"/>
                <w:b/>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近代知识分子对民俗文艺的应用</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1.古代关于民俗的记录与观点</w:t>
            </w:r>
          </w:p>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2.近代启蒙民俗思想的产生与发展</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第十五章外国民俗学概论</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美国，民俗学学科建设的典范</w:t>
            </w:r>
          </w:p>
          <w:p>
            <w:pPr>
              <w:spacing w:line="300" w:lineRule="exact"/>
              <w:jc w:val="left"/>
              <w:rPr>
                <w:rFonts w:asciiTheme="minorEastAsia" w:hAnsiTheme="minorEastAsia"/>
                <w:b/>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民族主义与民俗学</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了解欧美、俄国、日本和韩国的民俗学概况</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第十六章民俗学研究方法</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田野调查方法和文献资料查找方法</w:t>
            </w:r>
          </w:p>
          <w:p>
            <w:pPr>
              <w:spacing w:line="300" w:lineRule="exact"/>
              <w:jc w:val="left"/>
              <w:rPr>
                <w:rFonts w:asciiTheme="minorEastAsia" w:hAnsiTheme="minorEastAsia"/>
                <w:b/>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民俗学论文和报告的撰写</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民俗学研究的各种方法，包括一般社会科学研究的方法，如比较的视角和观与微观结合的研究方法等。</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支撑课程目标2、3</w:t>
            </w:r>
          </w:p>
        </w:tc>
      </w:tr>
    </w:tbl>
    <w:p>
      <w:pPr>
        <w:pStyle w:val="3"/>
        <w:spacing w:before="240" w:after="0" w:line="400" w:lineRule="exact"/>
        <w:contextualSpacing/>
        <w:rPr>
          <w:rFonts w:ascii="Times New Roman" w:hAnsi="Times New Roman" w:cs="Times New Roman"/>
          <w:sz w:val="30"/>
          <w:szCs w:val="30"/>
        </w:rPr>
      </w:pPr>
      <w:r>
        <w:rPr>
          <w:rFonts w:hint="eastAsia" w:ascii="Times New Roman" w:cs="Times New Roman"/>
          <w:sz w:val="30"/>
          <w:szCs w:val="30"/>
        </w:rPr>
        <w:t>四</w:t>
      </w:r>
      <w:r>
        <w:rPr>
          <w:rFonts w:ascii="Times New Roman" w:cs="Times New Roman"/>
          <w:sz w:val="30"/>
          <w:szCs w:val="30"/>
        </w:rPr>
        <w:t>、教学方法</w:t>
      </w:r>
    </w:p>
    <w:p>
      <w:pPr>
        <w:pStyle w:val="3"/>
        <w:snapToGrid w:val="0"/>
        <w:spacing w:before="240" w:after="0" w:line="400" w:lineRule="exact"/>
        <w:contextualSpacing/>
        <w:rPr>
          <w:rFonts w:ascii="Times New Roman" w:cs="Times New Roman"/>
          <w:sz w:val="30"/>
          <w:szCs w:val="30"/>
        </w:rPr>
      </w:pPr>
    </w:p>
    <w:p>
      <w:pPr>
        <w:spacing w:line="400" w:lineRule="exact"/>
        <w:ind w:firstLine="480" w:firstLineChars="200"/>
        <w:rPr>
          <w:sz w:val="24"/>
          <w:szCs w:val="24"/>
        </w:rPr>
      </w:pPr>
      <w:r>
        <w:rPr>
          <w:rFonts w:hint="eastAsia"/>
          <w:sz w:val="24"/>
          <w:szCs w:val="24"/>
        </w:rPr>
        <w:t>采用讲授与讨论相结合的方式，引导学生积极联系生活实际思考问题。特别是结合家乡民俗事项，比照其他地方的民俗，进行乡土教育，培养他们的爱国爱家感情。另外，对于民俗学的热点问题进行专题讨论，根据学生将来的就业方向和人生规划，做有针对性的问题的探讨，有意识的引导学生利用民俗学知识和方法作多学科方向的研究。</w:t>
      </w:r>
    </w:p>
    <w:p>
      <w:pPr>
        <w:spacing w:line="400" w:lineRule="exact"/>
        <w:ind w:firstLine="480" w:firstLineChars="200"/>
        <w:rPr>
          <w:sz w:val="24"/>
          <w:szCs w:val="24"/>
        </w:rPr>
      </w:pPr>
      <w:r>
        <w:rPr>
          <w:rFonts w:hint="eastAsia"/>
          <w:sz w:val="24"/>
          <w:szCs w:val="24"/>
        </w:rPr>
        <w:t>在授课过程中，写出各章节主要专业名词的英文单词，如民俗学（folklore）、民歌（folksong）等。在翻译书籍中，给出外国作者名字和书名原名。</w:t>
      </w:r>
    </w:p>
    <w:p>
      <w:pPr>
        <w:spacing w:line="400" w:lineRule="exact"/>
        <w:ind w:firstLine="480" w:firstLineChars="200"/>
        <w:rPr>
          <w:sz w:val="24"/>
          <w:szCs w:val="24"/>
        </w:rPr>
      </w:pPr>
      <w:r>
        <w:rPr>
          <w:rFonts w:hint="eastAsia"/>
          <w:sz w:val="24"/>
          <w:szCs w:val="24"/>
        </w:rPr>
        <w:t>针对民俗学和民间文学的教学特点和培养要求，在教学中要注意传统的教学方法与现代教学手段运用的有机结合，要充分使用多媒体教学课件进行教学，利用文字、图片、音频、视频和动画等手段，生动形象地讲述复杂深奥的民俗学和民间文学的理论知识，全方位地调动学生学习民俗学和民间文学的热情和积极性，尽量开阔学生视野，培养学生实际动手能力。</w:t>
      </w:r>
    </w:p>
    <w:p>
      <w:pPr>
        <w:pStyle w:val="3"/>
        <w:snapToGrid w:val="0"/>
        <w:spacing w:before="240" w:after="0" w:line="400" w:lineRule="exact"/>
        <w:contextualSpacing/>
        <w:rPr>
          <w:rFonts w:ascii="Times New Roman" w:cs="Times New Roman"/>
          <w:sz w:val="30"/>
          <w:szCs w:val="30"/>
        </w:rPr>
      </w:pPr>
      <w:r>
        <w:rPr>
          <w:rFonts w:hint="eastAsia" w:ascii="Times New Roman" w:cs="Times New Roman"/>
          <w:sz w:val="30"/>
          <w:szCs w:val="30"/>
        </w:rPr>
        <w:t>五、实践教学安排</w:t>
      </w:r>
    </w:p>
    <w:p>
      <w:pPr>
        <w:spacing w:line="400" w:lineRule="exact"/>
        <w:ind w:firstLine="480" w:firstLineChars="200"/>
        <w:rPr>
          <w:rFonts w:ascii="宋体" w:hAnsi="宋体" w:eastAsia="宋体"/>
          <w:sz w:val="24"/>
          <w:szCs w:val="24"/>
        </w:rPr>
      </w:pPr>
    </w:p>
    <w:p>
      <w:pPr>
        <w:spacing w:line="400" w:lineRule="exact"/>
        <w:ind w:firstLine="480" w:firstLineChars="200"/>
        <w:rPr>
          <w:rFonts w:ascii="宋体" w:hAnsi="宋体" w:eastAsia="宋体"/>
          <w:sz w:val="24"/>
          <w:szCs w:val="24"/>
        </w:rPr>
      </w:pPr>
      <w:r>
        <w:rPr>
          <w:rFonts w:hint="eastAsia" w:ascii="宋体" w:hAnsi="宋体" w:eastAsia="宋体"/>
          <w:sz w:val="24"/>
          <w:szCs w:val="24"/>
        </w:rPr>
        <w:t>与高校其它教学课程相比，由于民俗文化和民间文学的传承内容和形式有其特殊性，民俗学和民间文学课程的实施过程显现出更强的实践性，更注重实践环节，因此，必须加大实践教学的力度，坚持传授知识和培养能力相结合，课堂教学和课外调查相结合。根据民俗文化和民间文学的特点，一方面采用教唱民间歌谣，学讲民间故事，临摹民俗图画，演练民俗游戏，观看民俗音像资料等等形式，让学生在参与中认识、理解、接受民俗文化和民间文学传统。另一方面，由于民俗文化和民间文学产生于民间生活中，因而开展民俗学和民间文学课外教学活动，参与民俗文化和民间文学“田野作业”的实际活动，比课本的讲授更具有生命力和趣味性，而且更为重要。因此，对学生的民俗文化和民间文学知识的传播和能力的培养更需要拓展到课外去，如组织开展民俗文化和民间文学采风活动，搜集民间俗语谚语，民间故事，婚葬节庆风俗习惯等等，通过丰富多彩和生动有趣的民俗文化和民间文学活动，让学生接触民间生活、了解民俗文化和民间文学的内涵，从而达到开阔视野和启迪人文情怀、培养学生田野作业实际能力的目的。</w:t>
      </w:r>
    </w:p>
    <w:p>
      <w:pPr>
        <w:spacing w:line="400" w:lineRule="exact"/>
        <w:rPr>
          <w:rFonts w:ascii="宋体" w:hAnsi="宋体"/>
          <w:sz w:val="24"/>
          <w:szCs w:val="24"/>
        </w:rPr>
      </w:pPr>
    </w:p>
    <w:p>
      <w:pPr>
        <w:pStyle w:val="3"/>
        <w:spacing w:before="240" w:after="0" w:line="400" w:lineRule="exact"/>
        <w:contextualSpacing/>
        <w:rPr>
          <w:rFonts w:ascii="Times New Roman" w:cs="Times New Roman"/>
          <w:sz w:val="30"/>
          <w:szCs w:val="30"/>
        </w:rPr>
      </w:pPr>
      <w:r>
        <w:rPr>
          <w:rFonts w:hint="eastAsia" w:ascii="Times New Roman" w:cs="Times New Roman"/>
          <w:sz w:val="30"/>
          <w:szCs w:val="30"/>
        </w:rPr>
        <w:t>六</w:t>
      </w:r>
      <w:r>
        <w:rPr>
          <w:rFonts w:ascii="Times New Roman" w:cs="Times New Roman"/>
          <w:sz w:val="30"/>
          <w:szCs w:val="30"/>
        </w:rPr>
        <w:t>、</w:t>
      </w:r>
      <w:r>
        <w:rPr>
          <w:rFonts w:hint="eastAsia" w:ascii="Times New Roman" w:cs="Times New Roman"/>
          <w:sz w:val="30"/>
          <w:szCs w:val="30"/>
        </w:rPr>
        <w:t>课程教学评价</w:t>
      </w:r>
    </w:p>
    <w:p>
      <w:pPr>
        <w:spacing w:line="380" w:lineRule="exact"/>
        <w:ind w:firstLine="480" w:firstLineChars="200"/>
        <w:rPr>
          <w:sz w:val="24"/>
          <w:szCs w:val="24"/>
        </w:rPr>
      </w:pPr>
      <w:r>
        <w:rPr>
          <w:rFonts w:hint="eastAsia"/>
          <w:sz w:val="24"/>
          <w:szCs w:val="24"/>
        </w:rPr>
        <w:t>本课程的考核内容、要求及各部分的分值比例如下表：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504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Align w:val="center"/>
          </w:tcPr>
          <w:p>
            <w:pPr>
              <w:spacing w:line="380" w:lineRule="exact"/>
              <w:jc w:val="center"/>
              <w:rPr>
                <w:b/>
                <w:szCs w:val="21"/>
              </w:rPr>
            </w:pPr>
            <w:r>
              <w:rPr>
                <w:rFonts w:hint="eastAsia"/>
                <w:b/>
                <w:szCs w:val="21"/>
              </w:rPr>
              <w:t>考核内容</w:t>
            </w:r>
          </w:p>
        </w:tc>
        <w:tc>
          <w:tcPr>
            <w:tcW w:w="5040" w:type="dxa"/>
            <w:vAlign w:val="center"/>
          </w:tcPr>
          <w:p>
            <w:pPr>
              <w:spacing w:line="380" w:lineRule="exact"/>
              <w:jc w:val="center"/>
              <w:rPr>
                <w:b/>
                <w:szCs w:val="21"/>
              </w:rPr>
            </w:pPr>
            <w:r>
              <w:rPr>
                <w:rFonts w:hint="eastAsia"/>
                <w:b/>
                <w:szCs w:val="21"/>
              </w:rPr>
              <w:t>考核要求</w:t>
            </w:r>
          </w:p>
        </w:tc>
        <w:tc>
          <w:tcPr>
            <w:tcW w:w="1214" w:type="dxa"/>
            <w:vAlign w:val="center"/>
          </w:tcPr>
          <w:p>
            <w:pPr>
              <w:spacing w:line="380" w:lineRule="exact"/>
              <w:jc w:val="center"/>
              <w:rPr>
                <w:b/>
                <w:szCs w:val="21"/>
              </w:rPr>
            </w:pPr>
            <w:r>
              <w:rPr>
                <w:rFonts w:hint="eastAsia"/>
                <w:b/>
                <w:szCs w:val="21"/>
              </w:rPr>
              <w:t>分值比例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Pr>
          <w:p>
            <w:pPr>
              <w:spacing w:line="380" w:lineRule="exact"/>
              <w:rPr>
                <w:szCs w:val="21"/>
              </w:rPr>
            </w:pPr>
            <w:r>
              <w:rPr>
                <w:rFonts w:hint="eastAsia"/>
                <w:szCs w:val="21"/>
              </w:rPr>
              <w:t>课堂发言</w:t>
            </w:r>
          </w:p>
          <w:p>
            <w:pPr>
              <w:spacing w:line="380" w:lineRule="exact"/>
              <w:rPr>
                <w:szCs w:val="21"/>
              </w:rPr>
            </w:pPr>
          </w:p>
          <w:p>
            <w:pPr>
              <w:spacing w:line="380" w:lineRule="exact"/>
              <w:rPr>
                <w:szCs w:val="21"/>
              </w:rPr>
            </w:pPr>
            <w:r>
              <w:rPr>
                <w:rFonts w:hint="eastAsia"/>
                <w:szCs w:val="21"/>
              </w:rPr>
              <w:t>读书报告（民俗学经典）</w:t>
            </w:r>
          </w:p>
          <w:p>
            <w:pPr>
              <w:spacing w:line="380" w:lineRule="exact"/>
              <w:rPr>
                <w:szCs w:val="21"/>
              </w:rPr>
            </w:pPr>
          </w:p>
          <w:p>
            <w:pPr>
              <w:spacing w:line="380" w:lineRule="exact"/>
              <w:rPr>
                <w:szCs w:val="21"/>
              </w:rPr>
            </w:pPr>
            <w:r>
              <w:rPr>
                <w:rFonts w:hint="eastAsia"/>
                <w:szCs w:val="21"/>
              </w:rPr>
              <w:t>期末考核（论文形式）</w:t>
            </w:r>
          </w:p>
        </w:tc>
        <w:tc>
          <w:tcPr>
            <w:tcW w:w="5040" w:type="dxa"/>
          </w:tcPr>
          <w:p>
            <w:pPr>
              <w:spacing w:line="380" w:lineRule="exact"/>
              <w:rPr>
                <w:szCs w:val="21"/>
              </w:rPr>
            </w:pPr>
            <w:r>
              <w:rPr>
                <w:rFonts w:hint="eastAsia"/>
                <w:szCs w:val="21"/>
              </w:rPr>
              <w:t>参与课堂讨论</w:t>
            </w:r>
          </w:p>
          <w:p>
            <w:pPr>
              <w:spacing w:line="380" w:lineRule="exact"/>
              <w:rPr>
                <w:szCs w:val="21"/>
              </w:rPr>
            </w:pPr>
          </w:p>
          <w:p>
            <w:pPr>
              <w:spacing w:line="380" w:lineRule="exact"/>
              <w:rPr>
                <w:szCs w:val="21"/>
              </w:rPr>
            </w:pPr>
            <w:r>
              <w:rPr>
                <w:rFonts w:hint="eastAsia"/>
                <w:szCs w:val="21"/>
              </w:rPr>
              <w:t>文本上交时间：第1</w:t>
            </w:r>
            <w:r>
              <w:rPr>
                <w:szCs w:val="21"/>
              </w:rPr>
              <w:t>2</w:t>
            </w:r>
            <w:r>
              <w:rPr>
                <w:rFonts w:hint="eastAsia"/>
                <w:szCs w:val="21"/>
              </w:rPr>
              <w:t>周。</w:t>
            </w:r>
          </w:p>
          <w:p>
            <w:pPr>
              <w:spacing w:line="380" w:lineRule="exact"/>
              <w:rPr>
                <w:szCs w:val="21"/>
              </w:rPr>
            </w:pPr>
          </w:p>
          <w:p>
            <w:pPr>
              <w:spacing w:line="380" w:lineRule="exact"/>
              <w:rPr>
                <w:szCs w:val="21"/>
              </w:rPr>
            </w:pPr>
            <w:r>
              <w:rPr>
                <w:rFonts w:hint="eastAsia"/>
                <w:szCs w:val="21"/>
              </w:rPr>
              <w:t>文本上交时间：第1</w:t>
            </w:r>
            <w:r>
              <w:rPr>
                <w:szCs w:val="21"/>
              </w:rPr>
              <w:t>8</w:t>
            </w:r>
            <w:r>
              <w:rPr>
                <w:rFonts w:hint="eastAsia"/>
                <w:szCs w:val="21"/>
              </w:rPr>
              <w:t>周。</w:t>
            </w:r>
          </w:p>
        </w:tc>
        <w:tc>
          <w:tcPr>
            <w:tcW w:w="1214" w:type="dxa"/>
            <w:vAlign w:val="center"/>
          </w:tcPr>
          <w:p>
            <w:pPr>
              <w:spacing w:line="380" w:lineRule="exact"/>
              <w:jc w:val="center"/>
              <w:rPr>
                <w:szCs w:val="21"/>
              </w:rPr>
            </w:pPr>
            <w:r>
              <w:rPr>
                <w:szCs w:val="21"/>
              </w:rPr>
              <w:t>10%</w:t>
            </w:r>
          </w:p>
          <w:p>
            <w:pPr>
              <w:spacing w:line="380" w:lineRule="exact"/>
              <w:jc w:val="center"/>
              <w:rPr>
                <w:szCs w:val="21"/>
              </w:rPr>
            </w:pPr>
          </w:p>
          <w:p>
            <w:pPr>
              <w:spacing w:line="380" w:lineRule="exact"/>
              <w:jc w:val="center"/>
              <w:rPr>
                <w:szCs w:val="21"/>
              </w:rPr>
            </w:pPr>
            <w:r>
              <w:rPr>
                <w:szCs w:val="21"/>
              </w:rPr>
              <w:t>30%</w:t>
            </w:r>
          </w:p>
          <w:p>
            <w:pPr>
              <w:spacing w:line="380" w:lineRule="exact"/>
              <w:jc w:val="center"/>
              <w:rPr>
                <w:szCs w:val="21"/>
              </w:rPr>
            </w:pPr>
          </w:p>
          <w:p>
            <w:pPr>
              <w:spacing w:line="380" w:lineRule="exact"/>
              <w:jc w:val="center"/>
              <w:rPr>
                <w:szCs w:val="21"/>
              </w:rPr>
            </w:pPr>
            <w:r>
              <w:rPr>
                <w:szCs w:val="21"/>
              </w:rPr>
              <w:t>60%</w:t>
            </w:r>
          </w:p>
        </w:tc>
      </w:tr>
    </w:tbl>
    <w:p>
      <w:pPr>
        <w:pStyle w:val="3"/>
        <w:spacing w:before="240" w:after="0" w:line="400" w:lineRule="exact"/>
        <w:contextualSpacing/>
        <w:rPr>
          <w:rFonts w:ascii="Times New Roman" w:cs="Times New Roman"/>
          <w:sz w:val="30"/>
          <w:szCs w:val="30"/>
        </w:rPr>
      </w:pPr>
      <w:r>
        <w:rPr>
          <w:rFonts w:hint="eastAsia" w:ascii="Times New Roman" w:cs="Times New Roman"/>
          <w:sz w:val="30"/>
          <w:szCs w:val="30"/>
        </w:rPr>
        <w:t>七、成绩评定方法</w:t>
      </w:r>
    </w:p>
    <w:p>
      <w:pPr>
        <w:spacing w:line="360" w:lineRule="auto"/>
        <w:ind w:firstLine="420"/>
        <w:rPr>
          <w:rFonts w:asciiTheme="minorEastAsia" w:hAnsiTheme="minorEastAsia"/>
          <w:szCs w:val="24"/>
        </w:rPr>
      </w:pPr>
      <w:r>
        <w:rPr>
          <w:rFonts w:hint="eastAsia" w:asciiTheme="minorEastAsia" w:hAnsiTheme="minorEastAsia"/>
          <w:szCs w:val="24"/>
        </w:rPr>
        <w:t>本课程评价以对文章打分为主。</w:t>
      </w:r>
    </w:p>
    <w:p>
      <w:pPr>
        <w:spacing w:line="360" w:lineRule="auto"/>
        <w:ind w:firstLine="420"/>
        <w:rPr>
          <w:rFonts w:asciiTheme="minorEastAsia" w:hAnsiTheme="minorEastAsia"/>
          <w:szCs w:val="24"/>
        </w:rPr>
      </w:pPr>
      <w:r>
        <w:rPr>
          <w:rFonts w:hint="eastAsia" w:asciiTheme="minorEastAsia" w:hAnsiTheme="minorEastAsia"/>
          <w:szCs w:val="24"/>
        </w:rPr>
        <w:t>其中论文选题以切实、新颖为指标占比</w:t>
      </w:r>
      <w:r>
        <w:rPr>
          <w:rFonts w:asciiTheme="minorEastAsia" w:hAnsiTheme="minorEastAsia"/>
          <w:szCs w:val="24"/>
        </w:rPr>
        <w:t>20%</w:t>
      </w:r>
      <w:r>
        <w:rPr>
          <w:rFonts w:hint="eastAsia" w:asciiTheme="minorEastAsia" w:hAnsiTheme="minorEastAsia"/>
          <w:szCs w:val="24"/>
        </w:rPr>
        <w:t>；论文语言以流畅、平实为指标占比</w:t>
      </w:r>
      <w:r>
        <w:rPr>
          <w:rFonts w:asciiTheme="minorEastAsia" w:hAnsiTheme="minorEastAsia"/>
          <w:szCs w:val="24"/>
        </w:rPr>
        <w:t>30%</w:t>
      </w:r>
      <w:r>
        <w:rPr>
          <w:rFonts w:hint="eastAsia" w:asciiTheme="minorEastAsia" w:hAnsiTheme="minorEastAsia"/>
          <w:szCs w:val="24"/>
        </w:rPr>
        <w:t>；</w:t>
      </w:r>
    </w:p>
    <w:p>
      <w:pPr>
        <w:spacing w:line="360" w:lineRule="auto"/>
        <w:rPr>
          <w:rFonts w:asciiTheme="minorEastAsia" w:hAnsiTheme="minorEastAsia"/>
          <w:szCs w:val="24"/>
        </w:rPr>
      </w:pPr>
      <w:r>
        <w:rPr>
          <w:rFonts w:hint="eastAsia" w:asciiTheme="minorEastAsia" w:hAnsiTheme="minorEastAsia"/>
          <w:szCs w:val="24"/>
        </w:rPr>
        <w:t>论文结构以逻辑、合理为指标占比30%；论文格式以完整、规范为指标占比</w:t>
      </w:r>
      <w:r>
        <w:rPr>
          <w:rFonts w:asciiTheme="minorEastAsia" w:hAnsiTheme="minorEastAsia"/>
          <w:szCs w:val="24"/>
        </w:rPr>
        <w:t>20%</w:t>
      </w:r>
      <w:r>
        <w:rPr>
          <w:rFonts w:hint="eastAsia" w:asciiTheme="minorEastAsia" w:hAnsiTheme="minorEastAsia"/>
          <w:szCs w:val="24"/>
        </w:rPr>
        <w:t>。</w:t>
      </w:r>
    </w:p>
    <w:p>
      <w:pPr>
        <w:pStyle w:val="3"/>
        <w:spacing w:before="240" w:after="0" w:line="400" w:lineRule="exact"/>
        <w:contextualSpacing/>
        <w:rPr>
          <w:rFonts w:ascii="Times New Roman" w:cs="Times New Roman"/>
          <w:sz w:val="30"/>
          <w:szCs w:val="30"/>
        </w:rPr>
      </w:pPr>
      <w:r>
        <w:rPr>
          <w:rFonts w:hint="eastAsia" w:ascii="Times New Roman" w:cs="Times New Roman"/>
          <w:sz w:val="30"/>
          <w:szCs w:val="30"/>
        </w:rPr>
        <w:t>八、课程学习资源</w:t>
      </w:r>
    </w:p>
    <w:p>
      <w:pPr>
        <w:spacing w:line="300" w:lineRule="auto"/>
        <w:ind w:firstLine="422" w:firstLineChars="200"/>
        <w:rPr>
          <w:rFonts w:asciiTheme="minorEastAsia" w:hAnsiTheme="minorEastAsia"/>
          <w:b/>
          <w:bCs/>
          <w:szCs w:val="21"/>
        </w:rPr>
      </w:pPr>
      <w:r>
        <w:rPr>
          <w:rFonts w:hint="eastAsia" w:asciiTheme="minorEastAsia" w:hAnsiTheme="minorEastAsia"/>
          <w:b/>
          <w:bCs/>
          <w:szCs w:val="21"/>
        </w:rPr>
        <w:t>1.选用教材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480"/>
        <w:gridCol w:w="1412"/>
        <w:gridCol w:w="1112"/>
        <w:gridCol w:w="110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spacing w:line="300" w:lineRule="auto"/>
              <w:jc w:val="center"/>
              <w:rPr>
                <w:rFonts w:ascii="宋体" w:hAnsi="宋体" w:eastAsia="宋体"/>
                <w:szCs w:val="21"/>
              </w:rPr>
            </w:pPr>
            <w:r>
              <w:rPr>
                <w:rFonts w:hint="eastAsia" w:ascii="宋体" w:hAnsi="宋体" w:eastAsia="宋体"/>
                <w:szCs w:val="21"/>
              </w:rPr>
              <w:t>教材名称</w:t>
            </w:r>
          </w:p>
        </w:tc>
        <w:tc>
          <w:tcPr>
            <w:tcW w:w="1480" w:type="dxa"/>
            <w:vAlign w:val="center"/>
          </w:tcPr>
          <w:p>
            <w:pPr>
              <w:spacing w:line="300" w:lineRule="auto"/>
              <w:jc w:val="center"/>
              <w:rPr>
                <w:rFonts w:ascii="宋体" w:hAnsi="宋体" w:eastAsia="宋体"/>
                <w:szCs w:val="21"/>
              </w:rPr>
            </w:pPr>
            <w:r>
              <w:rPr>
                <w:rFonts w:hint="eastAsia" w:ascii="宋体" w:hAnsi="宋体" w:eastAsia="宋体"/>
                <w:szCs w:val="21"/>
              </w:rPr>
              <w:t>编者</w:t>
            </w:r>
          </w:p>
        </w:tc>
        <w:tc>
          <w:tcPr>
            <w:tcW w:w="1412" w:type="dxa"/>
            <w:vAlign w:val="center"/>
          </w:tcPr>
          <w:p>
            <w:pPr>
              <w:spacing w:line="300" w:lineRule="auto"/>
              <w:jc w:val="center"/>
              <w:rPr>
                <w:rFonts w:ascii="宋体" w:hAnsi="宋体" w:eastAsia="宋体"/>
                <w:szCs w:val="21"/>
              </w:rPr>
            </w:pPr>
            <w:r>
              <w:rPr>
                <w:rFonts w:hint="eastAsia" w:ascii="宋体" w:hAnsi="宋体" w:eastAsia="宋体"/>
                <w:szCs w:val="21"/>
              </w:rPr>
              <w:t>出版社</w:t>
            </w:r>
          </w:p>
        </w:tc>
        <w:tc>
          <w:tcPr>
            <w:tcW w:w="1112" w:type="dxa"/>
            <w:vAlign w:val="center"/>
          </w:tcPr>
          <w:p>
            <w:pPr>
              <w:spacing w:line="300" w:lineRule="auto"/>
              <w:jc w:val="center"/>
              <w:rPr>
                <w:rFonts w:ascii="宋体" w:hAnsi="宋体" w:eastAsia="宋体"/>
                <w:szCs w:val="21"/>
              </w:rPr>
            </w:pPr>
            <w:r>
              <w:rPr>
                <w:rFonts w:hint="eastAsia" w:ascii="宋体" w:hAnsi="宋体" w:eastAsia="宋体"/>
                <w:szCs w:val="21"/>
              </w:rPr>
              <w:t>出版时间</w:t>
            </w:r>
          </w:p>
        </w:tc>
        <w:tc>
          <w:tcPr>
            <w:tcW w:w="1103" w:type="dxa"/>
            <w:vAlign w:val="center"/>
          </w:tcPr>
          <w:p>
            <w:pPr>
              <w:spacing w:line="300" w:lineRule="auto"/>
              <w:jc w:val="center"/>
              <w:rPr>
                <w:rFonts w:ascii="宋体" w:hAnsi="宋体" w:eastAsia="宋体"/>
                <w:szCs w:val="21"/>
              </w:rPr>
            </w:pPr>
            <w:r>
              <w:rPr>
                <w:rFonts w:hint="eastAsia" w:ascii="宋体" w:hAnsi="宋体" w:eastAsia="宋体"/>
                <w:szCs w:val="21"/>
              </w:rPr>
              <w:t>是否马工程教材</w:t>
            </w:r>
          </w:p>
        </w:tc>
        <w:tc>
          <w:tcPr>
            <w:tcW w:w="1558" w:type="dxa"/>
            <w:vAlign w:val="center"/>
          </w:tcPr>
          <w:p>
            <w:pPr>
              <w:spacing w:line="300" w:lineRule="auto"/>
              <w:jc w:val="cente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spacing w:line="300" w:lineRule="auto"/>
              <w:jc w:val="center"/>
              <w:rPr>
                <w:rFonts w:ascii="宋体" w:hAnsi="宋体" w:eastAsia="宋体"/>
                <w:szCs w:val="21"/>
              </w:rPr>
            </w:pPr>
            <w:r>
              <w:rPr>
                <w:rFonts w:hint="eastAsia" w:ascii="Times New Roman" w:hAnsi="Times New Roman" w:eastAsia="宋体"/>
                <w:szCs w:val="21"/>
              </w:rPr>
              <w:t>《中国民俗学通识》</w:t>
            </w:r>
          </w:p>
        </w:tc>
        <w:tc>
          <w:tcPr>
            <w:tcW w:w="1480" w:type="dxa"/>
            <w:vAlign w:val="center"/>
          </w:tcPr>
          <w:p>
            <w:pPr>
              <w:spacing w:line="300" w:lineRule="auto"/>
              <w:jc w:val="center"/>
              <w:rPr>
                <w:rFonts w:ascii="宋体" w:hAnsi="宋体" w:eastAsia="宋体"/>
                <w:szCs w:val="21"/>
              </w:rPr>
            </w:pPr>
            <w:r>
              <w:rPr>
                <w:rFonts w:hint="eastAsia" w:ascii="宋体" w:hAnsi="宋体" w:eastAsia="宋体"/>
                <w:szCs w:val="21"/>
              </w:rPr>
              <w:t>赵杏根、陆湘怀</w:t>
            </w:r>
          </w:p>
        </w:tc>
        <w:tc>
          <w:tcPr>
            <w:tcW w:w="1412" w:type="dxa"/>
            <w:vAlign w:val="center"/>
          </w:tcPr>
          <w:p>
            <w:pPr>
              <w:spacing w:line="300" w:lineRule="auto"/>
              <w:jc w:val="center"/>
              <w:rPr>
                <w:rFonts w:ascii="宋体" w:hAnsi="宋体" w:eastAsia="宋体"/>
                <w:szCs w:val="21"/>
              </w:rPr>
            </w:pPr>
            <w:r>
              <w:rPr>
                <w:rFonts w:hint="eastAsia" w:ascii="宋体" w:hAnsi="宋体" w:eastAsia="宋体"/>
                <w:szCs w:val="21"/>
              </w:rPr>
              <w:t>东南大学出版社</w:t>
            </w:r>
          </w:p>
        </w:tc>
        <w:tc>
          <w:tcPr>
            <w:tcW w:w="1112" w:type="dxa"/>
            <w:vAlign w:val="center"/>
          </w:tcPr>
          <w:p>
            <w:pPr>
              <w:spacing w:line="300" w:lineRule="auto"/>
              <w:jc w:val="center"/>
              <w:rPr>
                <w:rFonts w:ascii="宋体" w:hAnsi="宋体" w:eastAsia="宋体"/>
                <w:szCs w:val="21"/>
              </w:rPr>
            </w:pPr>
            <w:r>
              <w:rPr>
                <w:rFonts w:hint="eastAsia" w:ascii="宋体" w:hAnsi="宋体" w:eastAsia="宋体"/>
                <w:szCs w:val="21"/>
              </w:rPr>
              <w:t>201</w:t>
            </w:r>
            <w:r>
              <w:rPr>
                <w:rFonts w:ascii="宋体" w:hAnsi="宋体" w:eastAsia="宋体"/>
                <w:szCs w:val="21"/>
              </w:rPr>
              <w:t>1</w:t>
            </w:r>
          </w:p>
        </w:tc>
        <w:tc>
          <w:tcPr>
            <w:tcW w:w="1103" w:type="dxa"/>
            <w:vAlign w:val="center"/>
          </w:tcPr>
          <w:p>
            <w:pPr>
              <w:spacing w:line="300" w:lineRule="auto"/>
              <w:jc w:val="center"/>
              <w:rPr>
                <w:rFonts w:ascii="宋体" w:hAnsi="宋体" w:eastAsia="宋体"/>
                <w:szCs w:val="21"/>
              </w:rPr>
            </w:pPr>
            <w:r>
              <w:rPr>
                <w:rFonts w:hint="eastAsia" w:ascii="宋体" w:hAnsi="宋体" w:eastAsia="宋体"/>
                <w:szCs w:val="21"/>
              </w:rPr>
              <w:t>否</w:t>
            </w:r>
          </w:p>
        </w:tc>
        <w:tc>
          <w:tcPr>
            <w:tcW w:w="1558" w:type="dxa"/>
            <w:vAlign w:val="center"/>
          </w:tcPr>
          <w:p>
            <w:pPr>
              <w:spacing w:line="300" w:lineRule="auto"/>
              <w:jc w:val="center"/>
              <w:rPr>
                <w:rFonts w:ascii="宋体" w:hAnsi="宋体" w:eastAsia="宋体"/>
                <w:szCs w:val="21"/>
              </w:rPr>
            </w:pPr>
          </w:p>
        </w:tc>
      </w:tr>
    </w:tbl>
    <w:p>
      <w:pPr>
        <w:spacing w:line="300" w:lineRule="auto"/>
        <w:rPr>
          <w:rFonts w:ascii="宋体" w:hAnsi="宋体" w:eastAsia="宋体"/>
          <w:szCs w:val="21"/>
        </w:rPr>
      </w:pPr>
    </w:p>
    <w:p>
      <w:pPr>
        <w:spacing w:line="400" w:lineRule="exact"/>
        <w:ind w:firstLine="422" w:firstLineChars="200"/>
        <w:rPr>
          <w:rFonts w:asciiTheme="minorEastAsia" w:hAnsiTheme="minorEastAsia"/>
          <w:b/>
          <w:bCs/>
          <w:szCs w:val="21"/>
        </w:rPr>
      </w:pPr>
      <w:r>
        <w:rPr>
          <w:rFonts w:hint="eastAsia" w:asciiTheme="minorEastAsia" w:hAnsiTheme="minorEastAsia"/>
          <w:b/>
          <w:bCs/>
          <w:szCs w:val="21"/>
        </w:rPr>
        <w:t>2.主要参考书目</w:t>
      </w:r>
    </w:p>
    <w:p>
      <w:pPr>
        <w:spacing w:line="400" w:lineRule="exact"/>
        <w:ind w:firstLine="420" w:firstLineChars="200"/>
        <w:rPr>
          <w:rFonts w:ascii="宋体" w:hAnsi="宋体" w:eastAsia="宋体"/>
          <w:bCs/>
          <w:szCs w:val="21"/>
        </w:rPr>
      </w:pPr>
      <w:r>
        <w:rPr>
          <w:rFonts w:hint="eastAsia" w:ascii="宋体" w:hAnsi="宋体" w:eastAsia="宋体"/>
          <w:szCs w:val="21"/>
        </w:rPr>
        <w:t>[1]</w:t>
      </w:r>
      <w:r>
        <w:rPr>
          <w:rFonts w:hint="eastAsia" w:ascii="宋体" w:hAnsi="宋体" w:eastAsia="宋体"/>
          <w:bCs/>
          <w:szCs w:val="21"/>
        </w:rPr>
        <w:t>钟敬文.民俗学概论（第二版）.北京：高等教育出版社，</w:t>
      </w:r>
      <w:r>
        <w:rPr>
          <w:rFonts w:ascii="宋体" w:hAnsi="宋体" w:eastAsia="宋体"/>
          <w:bCs/>
          <w:szCs w:val="21"/>
        </w:rPr>
        <w:t>2010</w:t>
      </w:r>
      <w:r>
        <w:rPr>
          <w:rFonts w:hint="eastAsia" w:ascii="宋体" w:hAnsi="宋体" w:eastAsia="宋体"/>
          <w:bCs/>
          <w:szCs w:val="21"/>
        </w:rPr>
        <w:t>.</w:t>
      </w:r>
    </w:p>
    <w:p>
      <w:pPr>
        <w:spacing w:line="400" w:lineRule="exact"/>
        <w:ind w:firstLine="420" w:firstLineChars="200"/>
        <w:rPr>
          <w:rFonts w:ascii="宋体" w:hAnsi="宋体" w:eastAsia="宋体"/>
          <w:szCs w:val="21"/>
        </w:rPr>
      </w:pPr>
      <w:r>
        <w:rPr>
          <w:rFonts w:hint="eastAsia" w:ascii="宋体" w:hAnsi="宋体" w:eastAsia="宋体"/>
          <w:szCs w:val="21"/>
        </w:rPr>
        <w:t>[2]董晓萍.说话的文化.北京：中华书局，2002.</w:t>
      </w:r>
    </w:p>
    <w:p>
      <w:pPr>
        <w:spacing w:line="400" w:lineRule="exact"/>
        <w:ind w:firstLine="420" w:firstLineChars="200"/>
        <w:rPr>
          <w:rFonts w:ascii="宋体" w:hAnsi="宋体" w:eastAsia="宋体"/>
          <w:szCs w:val="21"/>
        </w:rPr>
      </w:pPr>
      <w:r>
        <w:rPr>
          <w:rFonts w:hint="eastAsia" w:ascii="宋体" w:hAnsi="宋体" w:eastAsia="宋体"/>
          <w:szCs w:val="21"/>
        </w:rPr>
        <w:t>[3]高丙中.民俗文化与民俗生活.北京：中国社会科学出版社，1992.</w:t>
      </w:r>
    </w:p>
    <w:p>
      <w:pPr>
        <w:spacing w:line="400" w:lineRule="exact"/>
        <w:ind w:firstLine="420" w:firstLineChars="200"/>
        <w:rPr>
          <w:rFonts w:ascii="宋体" w:hAnsi="宋体" w:eastAsia="宋体"/>
          <w:szCs w:val="21"/>
        </w:rPr>
      </w:pPr>
      <w:r>
        <w:rPr>
          <w:rFonts w:hint="eastAsia" w:ascii="宋体" w:hAnsi="宋体" w:eastAsia="宋体"/>
          <w:szCs w:val="21"/>
        </w:rPr>
        <w:t>[4]周星.民俗学的历史、理论与方法.北京：商务印书馆，2006.</w:t>
      </w:r>
    </w:p>
    <w:p>
      <w:pPr>
        <w:spacing w:line="400" w:lineRule="exact"/>
        <w:ind w:firstLine="420" w:firstLineChars="200"/>
        <w:rPr>
          <w:rFonts w:ascii="宋体" w:hAnsi="宋体" w:eastAsia="宋体"/>
          <w:szCs w:val="21"/>
        </w:rPr>
      </w:pPr>
      <w:r>
        <w:rPr>
          <w:rFonts w:hint="eastAsia" w:ascii="宋体" w:hAnsi="宋体" w:eastAsia="宋体"/>
          <w:szCs w:val="21"/>
        </w:rPr>
        <w:t>[5]石应平.中外民俗概论.四川：四川大学出版社2002</w:t>
      </w:r>
    </w:p>
    <w:p>
      <w:pPr>
        <w:spacing w:line="400" w:lineRule="exact"/>
        <w:ind w:firstLine="420" w:firstLineChars="200"/>
        <w:rPr>
          <w:rFonts w:ascii="宋体" w:hAnsi="宋体" w:eastAsia="宋体"/>
          <w:szCs w:val="21"/>
        </w:rPr>
      </w:pPr>
      <w:r>
        <w:rPr>
          <w:rFonts w:hint="eastAsia" w:ascii="宋体" w:hAnsi="宋体" w:eastAsia="宋体"/>
          <w:szCs w:val="21"/>
        </w:rPr>
        <w:t>[6]乌丙安.民俗学丛话.上海：上海文艺出版社1983.</w:t>
      </w:r>
    </w:p>
    <w:p>
      <w:pPr>
        <w:spacing w:line="400" w:lineRule="exact"/>
        <w:ind w:firstLine="420" w:firstLineChars="200"/>
        <w:rPr>
          <w:rFonts w:ascii="宋体" w:hAnsi="宋体" w:eastAsia="宋体"/>
          <w:szCs w:val="21"/>
        </w:rPr>
      </w:pPr>
      <w:r>
        <w:rPr>
          <w:rFonts w:hint="eastAsia" w:ascii="宋体" w:hAnsi="宋体" w:eastAsia="宋体"/>
          <w:szCs w:val="21"/>
        </w:rPr>
        <w:t>[7]王娟.民俗学概论.北京：北京大学出版社2002</w:t>
      </w:r>
    </w:p>
    <w:p>
      <w:pPr>
        <w:spacing w:line="400" w:lineRule="exact"/>
        <w:ind w:firstLine="420" w:firstLineChars="200"/>
        <w:rPr>
          <w:rFonts w:ascii="宋体" w:hAnsi="宋体" w:eastAsia="宋体"/>
          <w:szCs w:val="21"/>
        </w:rPr>
      </w:pPr>
      <w:r>
        <w:rPr>
          <w:rFonts w:hint="eastAsia" w:ascii="宋体" w:hAnsi="宋体" w:eastAsia="宋体"/>
          <w:szCs w:val="21"/>
        </w:rPr>
        <w:t>[8]张国春.风俗与道德.山西：山西教育出版社1992</w:t>
      </w:r>
    </w:p>
    <w:p>
      <w:pPr>
        <w:spacing w:line="400" w:lineRule="exact"/>
        <w:ind w:firstLine="422" w:firstLineChars="200"/>
        <w:rPr>
          <w:rFonts w:asciiTheme="minorEastAsia" w:hAnsiTheme="minorEastAsia"/>
          <w:b/>
          <w:bCs/>
          <w:szCs w:val="21"/>
        </w:rPr>
      </w:pPr>
    </w:p>
    <w:p>
      <w:pPr>
        <w:spacing w:line="400" w:lineRule="exact"/>
        <w:ind w:firstLine="422" w:firstLineChars="200"/>
        <w:rPr>
          <w:rFonts w:asciiTheme="minorEastAsia" w:hAnsiTheme="minorEastAsia"/>
          <w:b/>
          <w:bCs/>
          <w:szCs w:val="21"/>
        </w:rPr>
      </w:pPr>
      <w:r>
        <w:rPr>
          <w:rFonts w:hint="eastAsia" w:asciiTheme="minorEastAsia" w:hAnsiTheme="minorEastAsia"/>
          <w:b/>
          <w:bCs/>
          <w:szCs w:val="21"/>
        </w:rPr>
        <w:t>3.其他学习资源</w:t>
      </w: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中国民俗学网</w:t>
      </w:r>
      <w:r>
        <w:fldChar w:fldCharType="begin"/>
      </w:r>
      <w:r>
        <w:instrText xml:space="preserve"> HYPERLINK "https://www.chinesefolklore.org.cn/" </w:instrText>
      </w:r>
      <w:r>
        <w:fldChar w:fldCharType="separate"/>
      </w:r>
      <w:r>
        <w:rPr>
          <w:rStyle w:val="14"/>
          <w:rFonts w:asciiTheme="minorEastAsia" w:hAnsiTheme="minorEastAsia"/>
          <w:szCs w:val="21"/>
        </w:rPr>
        <w:t>https://www.chinesefolklore.org.cn/</w:t>
      </w:r>
      <w:r>
        <w:rPr>
          <w:rStyle w:val="14"/>
          <w:rFonts w:asciiTheme="minorEastAsia" w:hAnsiTheme="minorEastAsia"/>
          <w:szCs w:val="21"/>
        </w:rPr>
        <w:fldChar w:fldCharType="end"/>
      </w:r>
    </w:p>
    <w:p>
      <w:pPr>
        <w:ind w:firstLine="420" w:firstLineChars="200"/>
        <w:rPr>
          <w:rFonts w:asciiTheme="minorEastAsia" w:hAnsiTheme="minorEastAsia"/>
          <w:szCs w:val="21"/>
        </w:rPr>
      </w:pPr>
      <w:r>
        <w:rPr>
          <w:rFonts w:hint="eastAsia" w:asciiTheme="minorEastAsia" w:hAnsiTheme="minorEastAsia"/>
          <w:szCs w:val="21"/>
        </w:rPr>
        <w:t>相关刊物：《民俗研究》《民族艺术》《民间文化论坛》</w:t>
      </w:r>
    </w:p>
    <w:p>
      <w:pPr>
        <w:pStyle w:val="3"/>
        <w:spacing w:before="240" w:after="0" w:line="400" w:lineRule="exact"/>
        <w:contextualSpacing/>
        <w:rPr>
          <w:rFonts w:ascii="Times New Roman" w:cs="Times New Roman"/>
          <w:sz w:val="30"/>
          <w:szCs w:val="30"/>
        </w:rPr>
      </w:pPr>
      <w:r>
        <w:rPr>
          <w:rFonts w:hint="eastAsia" w:ascii="Times New Roman" w:cs="Times New Roman"/>
          <w:sz w:val="30"/>
          <w:szCs w:val="30"/>
        </w:rPr>
        <w:t>九、课程学习建议</w:t>
      </w:r>
    </w:p>
    <w:p>
      <w:pPr>
        <w:spacing w:line="400" w:lineRule="exact"/>
        <w:ind w:left="420" w:firstLine="480" w:firstLineChars="200"/>
        <w:contextualSpacing/>
        <w:jc w:val="left"/>
        <w:rPr>
          <w:rFonts w:ascii="宋体" w:hAnsi="宋体"/>
          <w:sz w:val="24"/>
        </w:rPr>
      </w:pPr>
      <w:r>
        <w:rPr>
          <w:rFonts w:ascii="宋体" w:hAnsi="宋体"/>
          <w:sz w:val="24"/>
        </w:rPr>
        <w:t>民俗研究所涉及的领域，也随着时间的发展越来越广泛。如果说它初期在收集、研究范围上是比较有限的，那么，今天在有些国家里，它已经扩展到全部的社会生活、文化领域了。从社会基础（经济活动）和相应的社会关系，到上层建筑的各种制度和意识形态，大都附有一定的风俗行为和有关的心理活动，尽管它们之间有程度上和份量上的不同。具体他说，如过去各种劳动的组织、操作的表现形式、技术特点和所附着的信仰；又如过去社会中，有各类团体活动像宗教的庙会，有村落和宗族的各种习惯、规例等，这些都是民俗现象。至于各地年节风俗，如我国过去过农历新年、元宵、中元节、中秋节、冬至、除夕等岁时活动，每人自出生到老死所奉行的诞辰、成年式、结婚、丧葬等仪礼，以及各种民间赛会、民间文学艺术活动，它们从来就被算在风俗、习尚里面，这自不必细说了社会民俗现象虽然千差万别，种类繁多，但作为一种人类社会文化现象，他们大都有共同特点。就是这种现象，首先是社会的、集体的，它不是个人有意无意的创作。即使有的原来是个人或少数人创立或发起的，但是也必须经过集体的同意和反复履行，才能成为风俗。其次，跟集体性密切相关，这种现象的存在，不是个性的，大都是类型的或模式的。再次，它们在时间上是传承的，在空间上是扩布的。即使是少数新生的民俗，也都具有这种特点。总之，这种社会文化现象一般说来是集体的、类型的、继承的和传布的。在这种特点上，它与那些一般文化史上个人的、特定的、一时（或短时）的文化产物和现象有显著的不同。</w:t>
      </w:r>
    </w:p>
    <w:p>
      <w:pPr>
        <w:spacing w:line="400" w:lineRule="exact"/>
        <w:ind w:left="420" w:firstLine="480" w:firstLineChars="200"/>
        <w:contextualSpacing/>
        <w:jc w:val="left"/>
        <w:rPr>
          <w:rFonts w:ascii="宋体" w:hAnsi="宋体"/>
          <w:sz w:val="24"/>
        </w:rPr>
      </w:pPr>
      <w:r>
        <w:rPr>
          <w:rFonts w:ascii="宋体" w:hAnsi="宋体"/>
          <w:sz w:val="24"/>
        </w:rPr>
        <w:t>民俗现象，跟其它社会文化产物一样，是适应一定的社会的生活，首先是物质的生活和相应的心理需要而产生和传播、继承的。同样，作为一种社会现象，它也要对产生它的母体报效尽力，发挥相应的作用。各种民俗事象的性质、结构不一样，它的具体的社会功能也不一样。同一个民俗现象，由于所处的社会形态及具体的历史阶段不同，它的功能也会起一定的变化。但是，概括地说来，民俗现象的功能，主要在于规范和促进人们的社会生活，使之巩固、发展或得到调整。即使已经失去了原来意义的风俗，往往也要以某种变性的作用服务于一定社会的人们的生活。例如放风筝的风俗，最早是一种具有巫术性质的活动，但是以后逐渐变化，到今天已经基本上是属于文化娱乐性质的活动了。大体说来，完全没有作用的习俗，是比较少的。</w:t>
      </w:r>
    </w:p>
    <w:p>
      <w:pPr>
        <w:spacing w:line="400" w:lineRule="exact"/>
        <w:ind w:left="420" w:firstLine="480" w:firstLineChars="200"/>
        <w:contextualSpacing/>
        <w:jc w:val="left"/>
        <w:rPr>
          <w:rFonts w:ascii="宋体" w:hAnsi="宋体"/>
          <w:sz w:val="24"/>
        </w:rPr>
      </w:pPr>
      <w:r>
        <w:rPr>
          <w:rFonts w:ascii="宋体" w:hAnsi="宋体"/>
          <w:sz w:val="24"/>
        </w:rPr>
        <w:t>民俗学研究的对象主要是现代社会中的民俗事象。所以今天我们研究者的重要任务，是对它进行实地采集并加以科学整理。在这基础上，用科学的观点与方法对它进行客观的研究，并应有辨别地采用现代那些有效的技术性方法，如比较法、统计法等。</w:t>
      </w:r>
    </w:p>
    <w:p>
      <w:pPr>
        <w:spacing w:line="400" w:lineRule="exact"/>
        <w:ind w:left="420" w:firstLine="480" w:firstLineChars="200"/>
        <w:contextualSpacing/>
        <w:jc w:val="left"/>
        <w:rPr>
          <w:rFonts w:ascii="宋体" w:hAnsi="宋体"/>
          <w:sz w:val="24"/>
        </w:rPr>
      </w:pPr>
      <w:r>
        <w:rPr>
          <w:rFonts w:ascii="宋体" w:hAnsi="宋体"/>
          <w:sz w:val="24"/>
        </w:rPr>
        <w:t>民俗学与民族学的关系很密切，因为这两种学科都是以民族文化为研究主体的。民族学的研究，离不开各民族众多的民俗现象，而民俗学的研究，也不可能与民族学的研究对象截然分开。至于两者在理论上的互相辅助、促进，就是更自然的事了。但它们在许多方面仍有差异，例如民族学者颇重视民族的起源、发展和它的迁移、混合、分化等问题的研究，民俗学者一般却不注意这些。又如民俗学的研究对象一般限于本国或本民族，所以有人称它为“一国之学”，民族学的研究对象却大都是多民族的、跨国界的。</w:t>
      </w:r>
    </w:p>
    <w:p>
      <w:pPr>
        <w:spacing w:line="400" w:lineRule="exact"/>
        <w:ind w:left="420"/>
        <w:contextualSpacing/>
        <w:jc w:val="right"/>
        <w:rPr>
          <w:rFonts w:ascii="Times New Roman" w:hAnsi="Times New Roman" w:cs="Times New Roman"/>
          <w:b/>
          <w:sz w:val="24"/>
          <w:szCs w:val="24"/>
        </w:rPr>
      </w:pPr>
    </w:p>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4BEB"/>
    <w:rsid w:val="000036CA"/>
    <w:rsid w:val="0001138E"/>
    <w:rsid w:val="00015EF8"/>
    <w:rsid w:val="0001647C"/>
    <w:rsid w:val="000228BA"/>
    <w:rsid w:val="00030058"/>
    <w:rsid w:val="00031F7C"/>
    <w:rsid w:val="000321EC"/>
    <w:rsid w:val="00034337"/>
    <w:rsid w:val="0003595C"/>
    <w:rsid w:val="00052FF7"/>
    <w:rsid w:val="00056B47"/>
    <w:rsid w:val="0006610B"/>
    <w:rsid w:val="00082401"/>
    <w:rsid w:val="00084BBD"/>
    <w:rsid w:val="000A3341"/>
    <w:rsid w:val="000A5185"/>
    <w:rsid w:val="000B3D8E"/>
    <w:rsid w:val="000B4B05"/>
    <w:rsid w:val="000C5F22"/>
    <w:rsid w:val="000C652C"/>
    <w:rsid w:val="000D264F"/>
    <w:rsid w:val="000D45EC"/>
    <w:rsid w:val="000E2AE4"/>
    <w:rsid w:val="000E63B5"/>
    <w:rsid w:val="000F72E2"/>
    <w:rsid w:val="0010272F"/>
    <w:rsid w:val="00104711"/>
    <w:rsid w:val="00113D05"/>
    <w:rsid w:val="001202B6"/>
    <w:rsid w:val="00121C7E"/>
    <w:rsid w:val="00122AC4"/>
    <w:rsid w:val="00131188"/>
    <w:rsid w:val="001375F5"/>
    <w:rsid w:val="001376E4"/>
    <w:rsid w:val="001417B8"/>
    <w:rsid w:val="00142947"/>
    <w:rsid w:val="001523BD"/>
    <w:rsid w:val="00152567"/>
    <w:rsid w:val="0015563A"/>
    <w:rsid w:val="00156B4E"/>
    <w:rsid w:val="001703D7"/>
    <w:rsid w:val="00172542"/>
    <w:rsid w:val="00173774"/>
    <w:rsid w:val="00177687"/>
    <w:rsid w:val="00197504"/>
    <w:rsid w:val="001A311D"/>
    <w:rsid w:val="001D2DF6"/>
    <w:rsid w:val="001E0520"/>
    <w:rsid w:val="001E3FF8"/>
    <w:rsid w:val="001E5823"/>
    <w:rsid w:val="001F1C3F"/>
    <w:rsid w:val="002012FD"/>
    <w:rsid w:val="002068D6"/>
    <w:rsid w:val="00206A9D"/>
    <w:rsid w:val="002276D8"/>
    <w:rsid w:val="00244E7F"/>
    <w:rsid w:val="0024763C"/>
    <w:rsid w:val="0025700D"/>
    <w:rsid w:val="00261456"/>
    <w:rsid w:val="002656D7"/>
    <w:rsid w:val="00274F4B"/>
    <w:rsid w:val="00286CDD"/>
    <w:rsid w:val="0029365C"/>
    <w:rsid w:val="00295A1D"/>
    <w:rsid w:val="002A1597"/>
    <w:rsid w:val="002B1004"/>
    <w:rsid w:val="002B2B73"/>
    <w:rsid w:val="002B784D"/>
    <w:rsid w:val="002F2EC9"/>
    <w:rsid w:val="00300B6C"/>
    <w:rsid w:val="0030225F"/>
    <w:rsid w:val="00305A4C"/>
    <w:rsid w:val="003077F2"/>
    <w:rsid w:val="00321FE1"/>
    <w:rsid w:val="00352114"/>
    <w:rsid w:val="00352AC0"/>
    <w:rsid w:val="003543A1"/>
    <w:rsid w:val="00355641"/>
    <w:rsid w:val="003568CE"/>
    <w:rsid w:val="00357604"/>
    <w:rsid w:val="0035768F"/>
    <w:rsid w:val="00363030"/>
    <w:rsid w:val="003705A3"/>
    <w:rsid w:val="00372259"/>
    <w:rsid w:val="00372A8B"/>
    <w:rsid w:val="003807F3"/>
    <w:rsid w:val="00381E4A"/>
    <w:rsid w:val="003829C7"/>
    <w:rsid w:val="00393908"/>
    <w:rsid w:val="003A0D71"/>
    <w:rsid w:val="003B4189"/>
    <w:rsid w:val="003D582F"/>
    <w:rsid w:val="003D725E"/>
    <w:rsid w:val="003E18C8"/>
    <w:rsid w:val="003E591F"/>
    <w:rsid w:val="003E7FA0"/>
    <w:rsid w:val="003F03FA"/>
    <w:rsid w:val="003F1312"/>
    <w:rsid w:val="00410EF0"/>
    <w:rsid w:val="004111BB"/>
    <w:rsid w:val="00411279"/>
    <w:rsid w:val="00420452"/>
    <w:rsid w:val="004206C3"/>
    <w:rsid w:val="00421592"/>
    <w:rsid w:val="0043093C"/>
    <w:rsid w:val="004345E9"/>
    <w:rsid w:val="00441A82"/>
    <w:rsid w:val="00454CFD"/>
    <w:rsid w:val="0046204E"/>
    <w:rsid w:val="00464CEF"/>
    <w:rsid w:val="00470CB7"/>
    <w:rsid w:val="00473B7F"/>
    <w:rsid w:val="00483188"/>
    <w:rsid w:val="0048405B"/>
    <w:rsid w:val="00490D7E"/>
    <w:rsid w:val="00492C15"/>
    <w:rsid w:val="00497EAA"/>
    <w:rsid w:val="004A1A10"/>
    <w:rsid w:val="004A6462"/>
    <w:rsid w:val="004B179B"/>
    <w:rsid w:val="004B41B4"/>
    <w:rsid w:val="004B4DAB"/>
    <w:rsid w:val="004B529A"/>
    <w:rsid w:val="004C0FB0"/>
    <w:rsid w:val="004C235C"/>
    <w:rsid w:val="004D1D84"/>
    <w:rsid w:val="004D742C"/>
    <w:rsid w:val="004E50A8"/>
    <w:rsid w:val="004F5BA9"/>
    <w:rsid w:val="00501D26"/>
    <w:rsid w:val="00502BE0"/>
    <w:rsid w:val="0050327A"/>
    <w:rsid w:val="00504C9C"/>
    <w:rsid w:val="00506657"/>
    <w:rsid w:val="00507414"/>
    <w:rsid w:val="0050755E"/>
    <w:rsid w:val="00507BA6"/>
    <w:rsid w:val="00511E35"/>
    <w:rsid w:val="00512DA6"/>
    <w:rsid w:val="0051564C"/>
    <w:rsid w:val="005274DA"/>
    <w:rsid w:val="0054724A"/>
    <w:rsid w:val="00555BD4"/>
    <w:rsid w:val="005579A7"/>
    <w:rsid w:val="00567BF6"/>
    <w:rsid w:val="00576766"/>
    <w:rsid w:val="00577BB9"/>
    <w:rsid w:val="00586941"/>
    <w:rsid w:val="00591421"/>
    <w:rsid w:val="005A0F66"/>
    <w:rsid w:val="005A3114"/>
    <w:rsid w:val="005A484E"/>
    <w:rsid w:val="005A54EF"/>
    <w:rsid w:val="005A6901"/>
    <w:rsid w:val="005B4ACB"/>
    <w:rsid w:val="005B6F53"/>
    <w:rsid w:val="005C329D"/>
    <w:rsid w:val="005D15EC"/>
    <w:rsid w:val="005D1CC7"/>
    <w:rsid w:val="005D3A38"/>
    <w:rsid w:val="005D3C95"/>
    <w:rsid w:val="005E2C89"/>
    <w:rsid w:val="005F13C6"/>
    <w:rsid w:val="005F3EFF"/>
    <w:rsid w:val="00605BDF"/>
    <w:rsid w:val="00611D51"/>
    <w:rsid w:val="00624F03"/>
    <w:rsid w:val="00625F7F"/>
    <w:rsid w:val="006260DB"/>
    <w:rsid w:val="0063227F"/>
    <w:rsid w:val="0065248E"/>
    <w:rsid w:val="00654499"/>
    <w:rsid w:val="00657B19"/>
    <w:rsid w:val="006643BA"/>
    <w:rsid w:val="00690AE4"/>
    <w:rsid w:val="006A141D"/>
    <w:rsid w:val="006A3C28"/>
    <w:rsid w:val="006A6E5F"/>
    <w:rsid w:val="006A7562"/>
    <w:rsid w:val="006B219C"/>
    <w:rsid w:val="006D3604"/>
    <w:rsid w:val="006E59E5"/>
    <w:rsid w:val="006F0D2F"/>
    <w:rsid w:val="0070436E"/>
    <w:rsid w:val="00710F34"/>
    <w:rsid w:val="007230B8"/>
    <w:rsid w:val="00723A9E"/>
    <w:rsid w:val="00732FD5"/>
    <w:rsid w:val="00734BF7"/>
    <w:rsid w:val="00735BB1"/>
    <w:rsid w:val="00743854"/>
    <w:rsid w:val="00743FA9"/>
    <w:rsid w:val="00751195"/>
    <w:rsid w:val="00752890"/>
    <w:rsid w:val="007602B1"/>
    <w:rsid w:val="00764307"/>
    <w:rsid w:val="00766903"/>
    <w:rsid w:val="00770D30"/>
    <w:rsid w:val="00776E0E"/>
    <w:rsid w:val="00776EE8"/>
    <w:rsid w:val="007923BD"/>
    <w:rsid w:val="00794977"/>
    <w:rsid w:val="007A0059"/>
    <w:rsid w:val="007B495A"/>
    <w:rsid w:val="007B69A6"/>
    <w:rsid w:val="007B73D8"/>
    <w:rsid w:val="007B7EAA"/>
    <w:rsid w:val="007C5FD2"/>
    <w:rsid w:val="007D0F9F"/>
    <w:rsid w:val="007D42D5"/>
    <w:rsid w:val="007E0859"/>
    <w:rsid w:val="007E3D81"/>
    <w:rsid w:val="007E4930"/>
    <w:rsid w:val="007E6F1B"/>
    <w:rsid w:val="007F3B51"/>
    <w:rsid w:val="007F4F55"/>
    <w:rsid w:val="00802362"/>
    <w:rsid w:val="00802F0F"/>
    <w:rsid w:val="00803687"/>
    <w:rsid w:val="00815FC5"/>
    <w:rsid w:val="008215C9"/>
    <w:rsid w:val="00824CDA"/>
    <w:rsid w:val="0083274B"/>
    <w:rsid w:val="008337DD"/>
    <w:rsid w:val="00836473"/>
    <w:rsid w:val="00836880"/>
    <w:rsid w:val="00840D16"/>
    <w:rsid w:val="00845C3C"/>
    <w:rsid w:val="0085431D"/>
    <w:rsid w:val="00855454"/>
    <w:rsid w:val="00860E13"/>
    <w:rsid w:val="00862668"/>
    <w:rsid w:val="008637CD"/>
    <w:rsid w:val="0088197C"/>
    <w:rsid w:val="0088468C"/>
    <w:rsid w:val="008906BD"/>
    <w:rsid w:val="00891E24"/>
    <w:rsid w:val="008925E1"/>
    <w:rsid w:val="008A0E39"/>
    <w:rsid w:val="008A4A6D"/>
    <w:rsid w:val="008B0C54"/>
    <w:rsid w:val="008C5A22"/>
    <w:rsid w:val="008E3324"/>
    <w:rsid w:val="008E7584"/>
    <w:rsid w:val="008F0C3D"/>
    <w:rsid w:val="008F4E6F"/>
    <w:rsid w:val="008F7073"/>
    <w:rsid w:val="00904F56"/>
    <w:rsid w:val="00912A3B"/>
    <w:rsid w:val="00916C99"/>
    <w:rsid w:val="009275AD"/>
    <w:rsid w:val="0095653C"/>
    <w:rsid w:val="00956CC9"/>
    <w:rsid w:val="009675DE"/>
    <w:rsid w:val="00967CC7"/>
    <w:rsid w:val="00972622"/>
    <w:rsid w:val="00974A45"/>
    <w:rsid w:val="00985567"/>
    <w:rsid w:val="00994DE0"/>
    <w:rsid w:val="0099524C"/>
    <w:rsid w:val="00997A0E"/>
    <w:rsid w:val="009C57E4"/>
    <w:rsid w:val="009D1F67"/>
    <w:rsid w:val="009D3D41"/>
    <w:rsid w:val="009D683D"/>
    <w:rsid w:val="009F0B47"/>
    <w:rsid w:val="009F2E45"/>
    <w:rsid w:val="009F6592"/>
    <w:rsid w:val="00A04287"/>
    <w:rsid w:val="00A139AA"/>
    <w:rsid w:val="00A23561"/>
    <w:rsid w:val="00A334A3"/>
    <w:rsid w:val="00A36DA1"/>
    <w:rsid w:val="00A41D5B"/>
    <w:rsid w:val="00A434F3"/>
    <w:rsid w:val="00A45B8C"/>
    <w:rsid w:val="00A52D78"/>
    <w:rsid w:val="00A604D3"/>
    <w:rsid w:val="00A7708B"/>
    <w:rsid w:val="00A825AD"/>
    <w:rsid w:val="00A85EC0"/>
    <w:rsid w:val="00A8686D"/>
    <w:rsid w:val="00A95E5D"/>
    <w:rsid w:val="00A9638F"/>
    <w:rsid w:val="00AA39EF"/>
    <w:rsid w:val="00AA7C3B"/>
    <w:rsid w:val="00AD4588"/>
    <w:rsid w:val="00AD5EEB"/>
    <w:rsid w:val="00AE3DCE"/>
    <w:rsid w:val="00AE605F"/>
    <w:rsid w:val="00AE73C8"/>
    <w:rsid w:val="00AF2385"/>
    <w:rsid w:val="00AF6645"/>
    <w:rsid w:val="00B00068"/>
    <w:rsid w:val="00B0448B"/>
    <w:rsid w:val="00B06273"/>
    <w:rsid w:val="00B132F1"/>
    <w:rsid w:val="00B14B7C"/>
    <w:rsid w:val="00B21CB8"/>
    <w:rsid w:val="00B350DD"/>
    <w:rsid w:val="00B6150F"/>
    <w:rsid w:val="00B6209D"/>
    <w:rsid w:val="00B73276"/>
    <w:rsid w:val="00B75352"/>
    <w:rsid w:val="00B7689D"/>
    <w:rsid w:val="00B95867"/>
    <w:rsid w:val="00BB1476"/>
    <w:rsid w:val="00BD072A"/>
    <w:rsid w:val="00BD368E"/>
    <w:rsid w:val="00BD387C"/>
    <w:rsid w:val="00BE01A5"/>
    <w:rsid w:val="00BE0D62"/>
    <w:rsid w:val="00BE37C7"/>
    <w:rsid w:val="00BE5722"/>
    <w:rsid w:val="00C0678C"/>
    <w:rsid w:val="00C0724E"/>
    <w:rsid w:val="00C13553"/>
    <w:rsid w:val="00C15947"/>
    <w:rsid w:val="00C20568"/>
    <w:rsid w:val="00C271D1"/>
    <w:rsid w:val="00C51556"/>
    <w:rsid w:val="00C52158"/>
    <w:rsid w:val="00C52911"/>
    <w:rsid w:val="00C53A5D"/>
    <w:rsid w:val="00C5793F"/>
    <w:rsid w:val="00C6156A"/>
    <w:rsid w:val="00C7140B"/>
    <w:rsid w:val="00C76343"/>
    <w:rsid w:val="00C80381"/>
    <w:rsid w:val="00C9228B"/>
    <w:rsid w:val="00CA174C"/>
    <w:rsid w:val="00CB0722"/>
    <w:rsid w:val="00CC3457"/>
    <w:rsid w:val="00CC40E4"/>
    <w:rsid w:val="00CD1EFB"/>
    <w:rsid w:val="00CD685B"/>
    <w:rsid w:val="00CE08CB"/>
    <w:rsid w:val="00CE616E"/>
    <w:rsid w:val="00CF709C"/>
    <w:rsid w:val="00CF7422"/>
    <w:rsid w:val="00D02FF6"/>
    <w:rsid w:val="00D06F82"/>
    <w:rsid w:val="00D1628C"/>
    <w:rsid w:val="00D17BC8"/>
    <w:rsid w:val="00D231CC"/>
    <w:rsid w:val="00D259B0"/>
    <w:rsid w:val="00D271E4"/>
    <w:rsid w:val="00D36863"/>
    <w:rsid w:val="00D454EF"/>
    <w:rsid w:val="00D56059"/>
    <w:rsid w:val="00D7506D"/>
    <w:rsid w:val="00D7761F"/>
    <w:rsid w:val="00D83429"/>
    <w:rsid w:val="00DA4A1E"/>
    <w:rsid w:val="00DA4C55"/>
    <w:rsid w:val="00DA6322"/>
    <w:rsid w:val="00DB2529"/>
    <w:rsid w:val="00DB6E5C"/>
    <w:rsid w:val="00DB764A"/>
    <w:rsid w:val="00DD2ABE"/>
    <w:rsid w:val="00DD4717"/>
    <w:rsid w:val="00DF3E1C"/>
    <w:rsid w:val="00DF71B1"/>
    <w:rsid w:val="00E104A4"/>
    <w:rsid w:val="00E10CE6"/>
    <w:rsid w:val="00E11753"/>
    <w:rsid w:val="00E16868"/>
    <w:rsid w:val="00E25DC8"/>
    <w:rsid w:val="00E325B6"/>
    <w:rsid w:val="00E34F61"/>
    <w:rsid w:val="00E35590"/>
    <w:rsid w:val="00E57143"/>
    <w:rsid w:val="00E8255B"/>
    <w:rsid w:val="00E85EE9"/>
    <w:rsid w:val="00E90224"/>
    <w:rsid w:val="00E94BEB"/>
    <w:rsid w:val="00EC1724"/>
    <w:rsid w:val="00ED2BED"/>
    <w:rsid w:val="00EE32DD"/>
    <w:rsid w:val="00EE40F1"/>
    <w:rsid w:val="00EF3239"/>
    <w:rsid w:val="00EF6C3D"/>
    <w:rsid w:val="00F06648"/>
    <w:rsid w:val="00F2084E"/>
    <w:rsid w:val="00F26897"/>
    <w:rsid w:val="00F324CF"/>
    <w:rsid w:val="00F34949"/>
    <w:rsid w:val="00F36DF8"/>
    <w:rsid w:val="00F67FE1"/>
    <w:rsid w:val="00F718A3"/>
    <w:rsid w:val="00F833A8"/>
    <w:rsid w:val="00F862AE"/>
    <w:rsid w:val="00F94814"/>
    <w:rsid w:val="00FB1B0B"/>
    <w:rsid w:val="00FB4B79"/>
    <w:rsid w:val="00FC11B6"/>
    <w:rsid w:val="00FD25C3"/>
    <w:rsid w:val="00FD3439"/>
    <w:rsid w:val="00FD600F"/>
    <w:rsid w:val="00FE6F67"/>
    <w:rsid w:val="00FE79F1"/>
    <w:rsid w:val="00FF2B64"/>
    <w:rsid w:val="00FF7017"/>
    <w:rsid w:val="0E287DE6"/>
    <w:rsid w:val="4B93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Plain Text"/>
    <w:basedOn w:val="1"/>
    <w:link w:val="25"/>
    <w:semiHidden/>
    <w:unhideWhenUsed/>
    <w:qFormat/>
    <w:uiPriority w:val="99"/>
    <w:rPr>
      <w:rFonts w:hAnsi="Courier New" w:cs="Courier New" w:asciiTheme="minorEastAsia"/>
    </w:rPr>
  </w:style>
  <w:style w:type="paragraph" w:styleId="6">
    <w:name w:val="Balloon Text"/>
    <w:basedOn w:val="1"/>
    <w:link w:val="21"/>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3"/>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uiPriority w:val="99"/>
  </w:style>
  <w:style w:type="character" w:styleId="14">
    <w:name w:val="Hyperlink"/>
    <w:basedOn w:val="12"/>
    <w:unhideWhenUsed/>
    <w:qFormat/>
    <w:uiPriority w:val="99"/>
    <w:rPr>
      <w:color w:val="0563C1" w:themeColor="hyperlink"/>
      <w:u w:val="single"/>
    </w:rPr>
  </w:style>
  <w:style w:type="character" w:styleId="15">
    <w:name w:val="annotation reference"/>
    <w:basedOn w:val="12"/>
    <w:semiHidden/>
    <w:unhideWhenUsed/>
    <w:uiPriority w:val="99"/>
    <w:rPr>
      <w:sz w:val="21"/>
      <w:szCs w:val="21"/>
    </w:rPr>
  </w:style>
  <w:style w:type="paragraph" w:styleId="16">
    <w:name w:val="List Paragraph"/>
    <w:basedOn w:val="1"/>
    <w:qFormat/>
    <w:uiPriority w:val="34"/>
    <w:pPr>
      <w:ind w:firstLine="420" w:firstLineChars="200"/>
    </w:pPr>
  </w:style>
  <w:style w:type="character" w:customStyle="1" w:styleId="17">
    <w:name w:val="标题 1 字符"/>
    <w:basedOn w:val="12"/>
    <w:link w:val="2"/>
    <w:qFormat/>
    <w:uiPriority w:val="9"/>
    <w:rPr>
      <w:b/>
      <w:bCs/>
      <w:kern w:val="44"/>
      <w:sz w:val="44"/>
      <w:szCs w:val="44"/>
    </w:rPr>
  </w:style>
  <w:style w:type="character" w:customStyle="1" w:styleId="18">
    <w:name w:val="标题 2 字符"/>
    <w:basedOn w:val="12"/>
    <w:link w:val="3"/>
    <w:qFormat/>
    <w:uiPriority w:val="9"/>
    <w:rPr>
      <w:rFonts w:asciiTheme="majorHAnsi" w:hAnsiTheme="majorHAnsi" w:eastAsiaTheme="majorEastAsia" w:cstheme="majorBidi"/>
      <w:b/>
      <w:bCs/>
      <w:sz w:val="32"/>
      <w:szCs w:val="32"/>
    </w:rPr>
  </w:style>
  <w:style w:type="character" w:customStyle="1" w:styleId="19">
    <w:name w:val="页眉 字符"/>
    <w:basedOn w:val="12"/>
    <w:link w:val="8"/>
    <w:uiPriority w:val="99"/>
    <w:rPr>
      <w:sz w:val="18"/>
      <w:szCs w:val="18"/>
    </w:rPr>
  </w:style>
  <w:style w:type="character" w:customStyle="1" w:styleId="20">
    <w:name w:val="页脚 字符"/>
    <w:basedOn w:val="12"/>
    <w:link w:val="7"/>
    <w:qFormat/>
    <w:uiPriority w:val="99"/>
    <w:rPr>
      <w:sz w:val="18"/>
      <w:szCs w:val="18"/>
    </w:rPr>
  </w:style>
  <w:style w:type="character" w:customStyle="1" w:styleId="21">
    <w:name w:val="批注框文本 字符"/>
    <w:basedOn w:val="12"/>
    <w:link w:val="6"/>
    <w:semiHidden/>
    <w:uiPriority w:val="99"/>
    <w:rPr>
      <w:sz w:val="18"/>
      <w:szCs w:val="18"/>
    </w:rPr>
  </w:style>
  <w:style w:type="character" w:customStyle="1" w:styleId="22">
    <w:name w:val="批注文字 字符"/>
    <w:basedOn w:val="12"/>
    <w:link w:val="4"/>
    <w:semiHidden/>
    <w:qFormat/>
    <w:uiPriority w:val="99"/>
  </w:style>
  <w:style w:type="character" w:customStyle="1" w:styleId="23">
    <w:name w:val="批注主题 字符"/>
    <w:basedOn w:val="22"/>
    <w:link w:val="9"/>
    <w:semiHidden/>
    <w:qFormat/>
    <w:uiPriority w:val="99"/>
    <w:rPr>
      <w:b/>
      <w:bCs/>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纯文本 字符"/>
    <w:basedOn w:val="12"/>
    <w:link w:val="5"/>
    <w:semiHidden/>
    <w:uiPriority w:val="99"/>
    <w:rPr>
      <w:rFonts w:hAnsi="Courier New" w:cs="Courier New" w:ascii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41761-A3DD-4D47-AB13-39E52F135F83}">
  <ds:schemaRefs/>
</ds:datastoreItem>
</file>

<file path=docProps/app.xml><?xml version="1.0" encoding="utf-8"?>
<Properties xmlns="http://schemas.openxmlformats.org/officeDocument/2006/extended-properties" xmlns:vt="http://schemas.openxmlformats.org/officeDocument/2006/docPropsVTypes">
  <Template>Normal</Template>
  <Pages>8</Pages>
  <Words>1358</Words>
  <Characters>7744</Characters>
  <Lines>64</Lines>
  <Paragraphs>18</Paragraphs>
  <TotalTime>3241</TotalTime>
  <ScaleCrop>false</ScaleCrop>
  <LinksUpToDate>false</LinksUpToDate>
  <CharactersWithSpaces>9084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2019-02-23T15:00:00Z</dcterms:created>
  <dc:creator>Jianling Hu</dc:creator>
  <cp:lastModifiedBy>Administrator</cp:lastModifiedBy>
  <cp:lastPrinted>2018-09-08T17:47:00Z</cp:lastPrinted>
  <dcterms:modified xsi:type="dcterms:W3CDTF">2021-03-25T14:28:15Z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