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《《牡丹亭》欣赏与研究》课程教学大纲</w:t>
      </w:r>
    </w:p>
    <w:p>
      <w:pPr>
        <w:pStyle w:val="2"/>
        <w:spacing w:beforeLines="50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  <w:r>
              <w:rPr>
                <w:rFonts w:ascii="宋体" w:hAnsi="宋体" w:eastAsia="宋体"/>
              </w:rPr>
              <w:t xml:space="preserve">ppreciation and comment on </w:t>
            </w:r>
            <w:r>
              <w:rPr>
                <w:rFonts w:hint="eastAsia" w:ascii="宋体" w:hAnsi="宋体" w:eastAsia="宋体"/>
              </w:rPr>
              <w:t>《</w:t>
            </w:r>
            <w:r>
              <w:rPr>
                <w:rFonts w:ascii="宋体" w:hAnsi="宋体" w:eastAsia="宋体"/>
              </w:rPr>
              <w:t>The Peony Pavilion</w:t>
            </w:r>
            <w:r>
              <w:rPr>
                <w:rFonts w:hint="eastAsia" w:ascii="宋体" w:hAnsi="宋体" w:eastAsia="宋体"/>
              </w:rPr>
              <w:t>》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Y</w:t>
            </w:r>
            <w:r>
              <w:rPr>
                <w:rFonts w:ascii="宋体" w:hAnsi="宋体" w:eastAsia="宋体"/>
              </w:rPr>
              <w:t>T011014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宋体" w:hAnsi="宋体" w:eastAsia="宋体" w:cs="黑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lang w:val="en-US" w:eastAsia="zh-CN"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新生研讨课</w:t>
            </w:r>
            <w:r>
              <w:rPr>
                <w:rFonts w:hint="eastAsia" w:ascii="宋体" w:hAnsi="宋体" w:eastAsia="宋体"/>
                <w:lang w:val="en-US" w:eastAsia="zh-CN"/>
              </w:rPr>
              <w:t>程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全校非文学院本科新生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Lines="50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王宁、任孝温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021</w:t>
            </w:r>
            <w:r>
              <w:rPr>
                <w:rFonts w:hint="eastAsia" w:ascii="宋体" w:hAnsi="宋体" w:eastAsia="宋体"/>
              </w:rPr>
              <w:t>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王宁主编《大学戏曲鉴赏》，华东教育出版社2</w:t>
            </w:r>
            <w:r>
              <w:rPr>
                <w:rFonts w:ascii="宋体" w:hAnsi="宋体" w:eastAsia="宋体"/>
              </w:rPr>
              <w:t>019</w:t>
            </w:r>
            <w:r>
              <w:rPr>
                <w:rFonts w:hint="eastAsia" w:ascii="宋体" w:hAnsi="宋体" w:eastAsia="宋体"/>
              </w:rPr>
              <w:t>年版。</w:t>
            </w:r>
          </w:p>
          <w:p>
            <w:pPr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吴新雷主编，《昆曲艺术概论》，山西教育出版社2</w:t>
            </w:r>
            <w:r>
              <w:rPr>
                <w:rFonts w:ascii="宋体" w:hAnsi="宋体" w:eastAsia="宋体"/>
              </w:rPr>
              <w:t>007</w:t>
            </w:r>
            <w:r>
              <w:rPr>
                <w:rFonts w:hint="eastAsia" w:ascii="宋体" w:hAnsi="宋体" w:eastAsia="宋体"/>
              </w:rPr>
              <w:t>年版。</w:t>
            </w:r>
          </w:p>
        </w:tc>
      </w:tr>
    </w:tbl>
    <w:p>
      <w:pPr>
        <w:pStyle w:val="2"/>
        <w:spacing w:beforeLines="50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Lines="50" w:afterLines="50"/>
        <w:ind w:firstLine="480" w:firstLineChars="200"/>
        <w:rPr>
          <w:rFonts w:hAnsi="宋体" w:cs="宋体"/>
          <w:szCs w:val="21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  <w:szCs w:val="21"/>
        </w:rPr>
        <w:t>培养学生对传统戏曲的兴趣，激发学生对传统文化的热爱。通过系统的欣赏训练，使学生掌握欣赏昆剧昆曲的基本方法，提高学生在传统文化方面的素养。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通过欣赏昆剧经典《牡丹亭》，使学生了解昆剧的基本特点和欣赏方法。借助课堂讨论、教师针对性指导等方式，提高学生欣赏昆剧经典作品的能力和水平。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课程目标1：提升学生对传统文化的整体认识水平。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1．1了解中国古典戏曲的基本特点。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．2了解中国昆剧的基本状况。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课程目标2：重点了解昆剧经典剧目和艺术特色。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2．1了解昆剧的艺术特色和经典剧目。</w:t>
      </w:r>
    </w:p>
    <w:p>
      <w:pPr>
        <w:pStyle w:val="2"/>
        <w:spacing w:beforeLines="50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．2了解《牡丹亭》剧本的基本信息。</w:t>
      </w:r>
    </w:p>
    <w:p>
      <w:pPr>
        <w:pStyle w:val="2"/>
        <w:spacing w:beforeLines="50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课程目标3：学会欣赏昆曲，即完成从“看热闹”到“看门道”的转变</w:t>
      </w:r>
    </w:p>
    <w:p>
      <w:pPr>
        <w:pStyle w:val="2"/>
        <w:spacing w:beforeLines="50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Lines="50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古典戏曲总论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中国昆曲总论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昆剧经典赏析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《牡丹亭》折子戏赏析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ind w:firstLine="840" w:firstLineChars="400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课堂戏曲评论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Lines="50" w:afterLines="50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Lines="50" w:afterLines="50"/>
              <w:ind w:firstLine="840" w:firstLineChars="400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课程总考察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Lines="50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昆曲基础知识讲解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了解昆曲基础知识。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昆曲艺术特色的理解。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昆曲的起源和流变；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了解昆剧经典作品。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：讲解和录像观赏相结合。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汤显祖《牡丹亭》当中的“情”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了解《牡丹亭》的主题；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教学重难点：《牡丹亭》当中情与理的统一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汤显祖的生平和思想；《牡丹亭》写作过程和传播过程；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：讲解为主。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《牡丹亭》的历代接受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《牡丹亭》的阅读接受；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教学重难点：江南闺阁女性的《牡丹亭》接受。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《牡丹亭》在闺阁世界的传播；历代《牡丹亭》的演出；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：讲解为主。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《牡丹亭·私塾》《牡丹亭·惊梦》赏析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了解两折基础知识，赏析两折。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教学重难点：闺门旦表演特色的了解。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基础知识讲解；《私塾》导赏；《惊梦》观赏；课堂讨论与评价。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：讲解和录像观赏、课堂讨论相结合。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《寻梦》赏析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了解基础知识；赏析《寻梦》。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教学重难点：《寻梦》艺术特色的了解。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《寻梦》基础知识讲解；《寻梦》导赏；《寻梦》观赏；课堂讨论与评价。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：讲解和录像观赏、课堂讨论相结合。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《离魂》赏析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了解《离魂》的基础知识；赏析《离魂》。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教学重难点：《离魂》艺术特色的了解。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《离魂》基础知识讲解；《离魂》导赏；《离魂》观赏；课堂讨论与评价。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：讲解和录像观赏、课堂讨论相结合。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 《牡丹亭》《拾·叫》赏析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了解《拾·叫》基础知识；赏析《拾·叫》。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教学重难点：巾生表演特色的了解。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《拾·叫》基础知识讲解；《拾·叫》导赏；《拾·叫》观赏；课堂讨论与评价。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：讲解和录像观赏、课堂讨论相结合。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482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第八章 《幽媾》《冥判》《硬考》赏析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了解三折戏基础知识；赏析三折。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教学重难点：三折戏的艺术特色。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教学内容：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三折戏基础知识讲解；三折导赏；三折观赏；课堂讨论与评价。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 ：讲解和录像观赏、课堂讨论相结合。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教学评价：课堂提问、课堂研讨发言等。</w:t>
      </w:r>
    </w:p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Lines="50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昆曲基础知识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《牡丹亭》的情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《牡丹亭》的历代接受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《私塾》《惊梦》赏析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《寻梦》赏析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《离魂》赏析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《拾·叫》赏析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《冥判》《幽媾》《硬考》赏析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898"/>
        <w:gridCol w:w="1266"/>
        <w:gridCol w:w="1266"/>
        <w:gridCol w:w="1099"/>
        <w:gridCol w:w="1324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昆曲基础知识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昆曲的形成，昆剧的传播等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课堂研讨和提问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《牡丹亭》的情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明代的理学和汤显祖的思想等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课堂研讨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5-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《牡丹亭》的传播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江南闺阁的《牡丹亭》阅读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课堂总结和研讨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《私塾》《惊梦》赏析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二折导赏等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课堂研讨提问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9-</w:t>
            </w: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《离魂》赏析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《离魂》导赏等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课堂研讨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《拾·叫》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《拾·叫》导赏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课堂研讨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17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《幽媾》《冥判》《硬考》赏析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《幽媾》等导赏等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课堂讨论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．王宁主编，《大学戏曲鉴赏》，华东师范大学出版社2</w:t>
      </w:r>
      <w:r>
        <w:rPr>
          <w:rFonts w:ascii="宋体" w:hAnsi="宋体" w:eastAsia="宋体"/>
        </w:rPr>
        <w:t>019</w:t>
      </w:r>
      <w:r>
        <w:rPr>
          <w:rFonts w:hint="eastAsia" w:ascii="宋体" w:hAnsi="宋体" w:eastAsia="宋体"/>
        </w:rPr>
        <w:t>年版。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2．吴新雷主编，《昆曲艺术概论》，山西教育出版社，2</w:t>
      </w:r>
      <w:r>
        <w:rPr>
          <w:rFonts w:ascii="宋体" w:hAnsi="宋体" w:eastAsia="宋体"/>
        </w:rPr>
        <w:t>007</w:t>
      </w:r>
      <w:r>
        <w:rPr>
          <w:rFonts w:hint="eastAsia" w:ascii="宋体" w:hAnsi="宋体" w:eastAsia="宋体"/>
        </w:rPr>
        <w:t>年。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1．讲授法：主要针对昆剧基础知识和《牡丹亭》的有关背景性知识。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2．课堂研讨：主要在观赏之后，及时针对观赏折子戏，进行开放性的讨论和品评。对折子戏的艺术和思想进行评价和赏析。</w:t>
      </w:r>
    </w:p>
    <w:p>
      <w:pPr>
        <w:widowControl/>
        <w:spacing w:beforeLines="50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3．赏析和观赏结合：结合讲解，观看录像，随时解读和赏析。</w:t>
      </w:r>
    </w:p>
    <w:p>
      <w:pPr>
        <w:widowControl/>
        <w:spacing w:beforeLines="50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Lines="50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5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昆曲和《牡丹亭》总论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提问、研讨、戏曲评论写作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了解《牡丹亭》艺术特色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提问、研讨、戏曲评论写作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《牡丹亭》评论与赏析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提问、研讨、戏曲评论写作</w:t>
            </w: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Lines="50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1．评定方法</w:t>
      </w:r>
    </w:p>
    <w:p>
      <w:pPr>
        <w:widowControl/>
        <w:spacing w:beforeLines="50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平时和期末考察结合：平时成绩3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</w:t>
      </w:r>
      <w:r>
        <w:rPr>
          <w:rFonts w:ascii="宋体" w:hAnsi="宋体" w:eastAsia="宋体"/>
        </w:rPr>
        <w:t>70%</w:t>
      </w:r>
      <w:r>
        <w:rPr>
          <w:rFonts w:hint="eastAsia" w:ascii="宋体" w:hAnsi="宋体" w:eastAsia="宋体"/>
        </w:rPr>
        <w:t>。平时成绩主要看课堂研讨表现和提问情况，课程期末以文本戏曲评论写作为主要参照。</w:t>
      </w:r>
    </w:p>
    <w:p>
      <w:pPr>
        <w:widowControl/>
        <w:spacing w:beforeLines="50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Lines="50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5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Lines="50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5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较好掌握昆曲的基本特点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基本昆曲的基本特点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一定程度上掌握昆曲的基本特点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部分掌握昆曲的基本特点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对中国古典戏曲和昆曲的基本特点基本上不了解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较好掌握《牡丹亭》的艺术特点，熟悉经典剧目《牡丹亭》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基本掌握《牡丹亭》的艺术特点，熟悉经典剧目《牡丹亭》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一定程度上掌握《牡丹亭》的艺术特点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部分《牡丹亭》的基本特点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未能掌握《牡丹亭》的基本特点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Lines="50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较好掌握昆曲艺术特点，并能进行较准确的评价和赏析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基本掌握昆曲艺术特点，并能进行较准确的评价和赏析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一定程度上掌握昆曲艺术特点，并能进行较准确的赏析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部分掌握昆曲艺术特点，并能进行评价和赏析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对昆曲的艺术特色和经典剧目《牡丹亭》基本上不了解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D8"/>
    <w:rsid w:val="00005BBF"/>
    <w:rsid w:val="0001555E"/>
    <w:rsid w:val="00091787"/>
    <w:rsid w:val="000C0BEB"/>
    <w:rsid w:val="000E1CF9"/>
    <w:rsid w:val="00124402"/>
    <w:rsid w:val="00126532"/>
    <w:rsid w:val="0013201D"/>
    <w:rsid w:val="00151551"/>
    <w:rsid w:val="0017238E"/>
    <w:rsid w:val="00206A2A"/>
    <w:rsid w:val="00206B70"/>
    <w:rsid w:val="002430EC"/>
    <w:rsid w:val="00250FA7"/>
    <w:rsid w:val="0025618D"/>
    <w:rsid w:val="0027276B"/>
    <w:rsid w:val="002B4775"/>
    <w:rsid w:val="003007B5"/>
    <w:rsid w:val="00303F04"/>
    <w:rsid w:val="00324821"/>
    <w:rsid w:val="00383842"/>
    <w:rsid w:val="00390401"/>
    <w:rsid w:val="003C7E2C"/>
    <w:rsid w:val="003F59DA"/>
    <w:rsid w:val="00407E01"/>
    <w:rsid w:val="00435FC6"/>
    <w:rsid w:val="00462E36"/>
    <w:rsid w:val="00475EBE"/>
    <w:rsid w:val="00491C55"/>
    <w:rsid w:val="00493AA1"/>
    <w:rsid w:val="004C329F"/>
    <w:rsid w:val="005151C6"/>
    <w:rsid w:val="00545AEA"/>
    <w:rsid w:val="0056154E"/>
    <w:rsid w:val="005A0F1E"/>
    <w:rsid w:val="005A7A25"/>
    <w:rsid w:val="005F128A"/>
    <w:rsid w:val="006449C1"/>
    <w:rsid w:val="006802E8"/>
    <w:rsid w:val="00682C14"/>
    <w:rsid w:val="006918A2"/>
    <w:rsid w:val="006E6A06"/>
    <w:rsid w:val="0072023A"/>
    <w:rsid w:val="007206C2"/>
    <w:rsid w:val="007604D1"/>
    <w:rsid w:val="007A3803"/>
    <w:rsid w:val="007E10C6"/>
    <w:rsid w:val="007E7443"/>
    <w:rsid w:val="007F1383"/>
    <w:rsid w:val="00811E31"/>
    <w:rsid w:val="00844F22"/>
    <w:rsid w:val="00973E82"/>
    <w:rsid w:val="009C3D1F"/>
    <w:rsid w:val="00A207D7"/>
    <w:rsid w:val="00AA601C"/>
    <w:rsid w:val="00B25AF5"/>
    <w:rsid w:val="00B56284"/>
    <w:rsid w:val="00BF11DA"/>
    <w:rsid w:val="00C207E6"/>
    <w:rsid w:val="00C25718"/>
    <w:rsid w:val="00C37335"/>
    <w:rsid w:val="00C70139"/>
    <w:rsid w:val="00C728FF"/>
    <w:rsid w:val="00C77F05"/>
    <w:rsid w:val="00CA2986"/>
    <w:rsid w:val="00CC64D8"/>
    <w:rsid w:val="00CF7A74"/>
    <w:rsid w:val="00D01BD2"/>
    <w:rsid w:val="00D03AF1"/>
    <w:rsid w:val="00D169FA"/>
    <w:rsid w:val="00D27393"/>
    <w:rsid w:val="00D33697"/>
    <w:rsid w:val="00D527E7"/>
    <w:rsid w:val="00D561A4"/>
    <w:rsid w:val="00DA4750"/>
    <w:rsid w:val="00DA623F"/>
    <w:rsid w:val="00E218B6"/>
    <w:rsid w:val="00E26822"/>
    <w:rsid w:val="00EB552B"/>
    <w:rsid w:val="00F013E6"/>
    <w:rsid w:val="00F35202"/>
    <w:rsid w:val="00F371DD"/>
    <w:rsid w:val="00F44D69"/>
    <w:rsid w:val="00F45801"/>
    <w:rsid w:val="00F47ECC"/>
    <w:rsid w:val="00F767DD"/>
    <w:rsid w:val="00F77AFE"/>
    <w:rsid w:val="00FA4741"/>
    <w:rsid w:val="00FA4AF3"/>
    <w:rsid w:val="00FA61CD"/>
    <w:rsid w:val="00FE3AA5"/>
    <w:rsid w:val="141D3266"/>
    <w:rsid w:val="6A1F2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496</Words>
  <Characters>2833</Characters>
  <Lines>23</Lines>
  <Paragraphs>6</Paragraphs>
  <TotalTime>1</TotalTime>
  <ScaleCrop>false</ScaleCrop>
  <LinksUpToDate>false</LinksUpToDate>
  <CharactersWithSpaces>3323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2021-03-06T05:34:00Z</dcterms:created>
  <dc:creator>王 不宁</dc:creator>
  <cp:lastModifiedBy>苍穹之巅</cp:lastModifiedBy>
  <dcterms:modified xsi:type="dcterms:W3CDTF">2021-12-06T06:13:07Z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